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89" w:rsidRPr="00FA4889" w:rsidRDefault="00FA4889" w:rsidP="00FA4889">
      <w:pPr>
        <w:shd w:val="clear" w:color="auto" w:fill="FFFFFF"/>
        <w:spacing w:before="300" w:after="270" w:line="240" w:lineRule="auto"/>
        <w:outlineLvl w:val="0"/>
        <w:rPr>
          <w:rFonts w:ascii="inherit" w:eastAsia="Times New Roman" w:hAnsi="inherit" w:cs="Helvetica"/>
          <w:b/>
          <w:bCs/>
          <w:color w:val="444444"/>
          <w:kern w:val="36"/>
          <w:sz w:val="36"/>
          <w:szCs w:val="36"/>
          <w:lang w:eastAsia="ru-RU"/>
        </w:rPr>
      </w:pPr>
      <w:r w:rsidRPr="00FA4889">
        <w:rPr>
          <w:rFonts w:ascii="inherit" w:eastAsia="Times New Roman" w:hAnsi="inherit" w:cs="Helvetica"/>
          <w:b/>
          <w:bCs/>
          <w:color w:val="444444"/>
          <w:kern w:val="36"/>
          <w:sz w:val="36"/>
          <w:szCs w:val="36"/>
          <w:lang w:eastAsia="ru-RU"/>
        </w:rPr>
        <w:t>Синдром делеции 22 хромосомы (синдром ДиДжорджи) у детей</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Клинические рекомендации</w:t>
      </w:r>
    </w:p>
    <w:p w:rsidR="00FA4889" w:rsidRPr="00FA4889" w:rsidRDefault="00FA4889" w:rsidP="00FA4889">
      <w:pPr>
        <w:shd w:val="clear" w:color="auto" w:fill="F0F0F0"/>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Синдром делеции 22 хромосомы (синдром ДиДжорджи) у детей</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МКБ 10: </w:t>
      </w:r>
      <w:r w:rsidRPr="00FA4889">
        <w:rPr>
          <w:rFonts w:ascii="Helvetica" w:eastAsia="Times New Roman" w:hAnsi="Helvetica" w:cs="Helvetica"/>
          <w:b/>
          <w:bCs/>
          <w:color w:val="333333"/>
          <w:sz w:val="24"/>
          <w:szCs w:val="24"/>
          <w:lang w:eastAsia="ru-RU"/>
        </w:rPr>
        <w:t>D82.1</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Год утверждения (частота пересмотра): </w:t>
      </w:r>
      <w:r w:rsidRPr="00FA4889">
        <w:rPr>
          <w:rFonts w:ascii="Helvetica" w:eastAsia="Times New Roman" w:hAnsi="Helvetica" w:cs="Helvetica"/>
          <w:b/>
          <w:bCs/>
          <w:color w:val="333333"/>
          <w:sz w:val="24"/>
          <w:szCs w:val="24"/>
          <w:lang w:eastAsia="ru-RU"/>
        </w:rPr>
        <w:t>2016 (пересмотр каждые 5 лет)</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ID: </w:t>
      </w:r>
      <w:r w:rsidRPr="00FA4889">
        <w:rPr>
          <w:rFonts w:ascii="Helvetica" w:eastAsia="Times New Roman" w:hAnsi="Helvetica" w:cs="Helvetica"/>
          <w:b/>
          <w:bCs/>
          <w:color w:val="333333"/>
          <w:sz w:val="24"/>
          <w:szCs w:val="24"/>
          <w:lang w:eastAsia="ru-RU"/>
        </w:rPr>
        <w:t>КР336</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URL:</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Профессиональные ассоциации:</w:t>
      </w:r>
    </w:p>
    <w:p w:rsidR="00FA4889" w:rsidRPr="00FA4889" w:rsidRDefault="00FA4889" w:rsidP="00FA4889">
      <w:pPr>
        <w:numPr>
          <w:ilvl w:val="0"/>
          <w:numId w:val="1"/>
        </w:numPr>
        <w:shd w:val="clear" w:color="auto" w:fill="F0F0F0"/>
        <w:spacing w:before="100" w:beforeAutospacing="1" w:after="100" w:afterAutospacing="1"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Национальное общество детских гематологов и онкологов</w:t>
      </w:r>
    </w:p>
    <w:p w:rsidR="00FA4889" w:rsidRPr="00FA4889" w:rsidRDefault="00FA4889" w:rsidP="00FA4889">
      <w:pPr>
        <w:numPr>
          <w:ilvl w:val="0"/>
          <w:numId w:val="1"/>
        </w:numPr>
        <w:shd w:val="clear" w:color="auto" w:fill="F0F0F0"/>
        <w:spacing w:before="100" w:beforeAutospacing="1" w:after="100" w:afterAutospacing="1"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Национальное общество экспертов по первичным иммунодефицитам</w:t>
      </w:r>
    </w:p>
    <w:p w:rsidR="00FA4889" w:rsidRPr="00FA4889" w:rsidRDefault="00FA4889" w:rsidP="00FA4889">
      <w:pPr>
        <w:shd w:val="clear" w:color="auto" w:fill="F0F0F0"/>
        <w:spacing w:after="0" w:line="240" w:lineRule="auto"/>
        <w:rPr>
          <w:rFonts w:ascii="Helvetica" w:eastAsia="Times New Roman" w:hAnsi="Helvetica" w:cs="Helvetica"/>
          <w:color w:val="AAAAAA"/>
          <w:sz w:val="24"/>
          <w:szCs w:val="24"/>
          <w:lang w:eastAsia="ru-RU"/>
        </w:rPr>
      </w:pPr>
      <w:r w:rsidRPr="00FA4889">
        <w:rPr>
          <w:rFonts w:ascii="Helvetica" w:eastAsia="Times New Roman" w:hAnsi="Helvetica" w:cs="Helvetica"/>
          <w:color w:val="AAAAAA"/>
          <w:sz w:val="24"/>
          <w:szCs w:val="24"/>
          <w:lang w:eastAsia="ru-RU"/>
        </w:rPr>
        <w:t>Утверждены</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Национальным обществом детских гематологов и онкологов</w:t>
      </w:r>
    </w:p>
    <w:p w:rsidR="00FA4889" w:rsidRPr="00FA4889" w:rsidRDefault="00FA4889" w:rsidP="00FA4889">
      <w:pPr>
        <w:shd w:val="clear" w:color="auto" w:fill="F0F0F0"/>
        <w:spacing w:after="0" w:line="240" w:lineRule="auto"/>
        <w:rPr>
          <w:rFonts w:ascii="Helvetica" w:eastAsia="Times New Roman" w:hAnsi="Helvetica" w:cs="Helvetica"/>
          <w:color w:val="AAAAAA"/>
          <w:sz w:val="24"/>
          <w:szCs w:val="24"/>
          <w:lang w:eastAsia="ru-RU"/>
        </w:rPr>
      </w:pPr>
      <w:r w:rsidRPr="00FA4889">
        <w:rPr>
          <w:rFonts w:ascii="Helvetica" w:eastAsia="Times New Roman" w:hAnsi="Helvetica" w:cs="Helvetica"/>
          <w:color w:val="AAAAAA"/>
          <w:sz w:val="24"/>
          <w:szCs w:val="24"/>
          <w:lang w:eastAsia="ru-RU"/>
        </w:rPr>
        <w:t>Согласованы</w:t>
      </w:r>
    </w:p>
    <w:p w:rsidR="00FA4889" w:rsidRPr="00FA4889" w:rsidRDefault="00FA4889" w:rsidP="00FA4889">
      <w:pPr>
        <w:shd w:val="clear" w:color="auto" w:fill="F0F0F0"/>
        <w:spacing w:after="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Научным советом Министерства Здравоохранения Российской Федерации__ __________201_ г.</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Оглавление</w:t>
      </w:r>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6" w:anchor="part_2" w:history="1">
        <w:r w:rsidRPr="00FA4889">
          <w:rPr>
            <w:rFonts w:ascii="Helvetica" w:eastAsia="Times New Roman" w:hAnsi="Helvetica" w:cs="Helvetica"/>
            <w:color w:val="336688"/>
            <w:sz w:val="24"/>
            <w:szCs w:val="24"/>
            <w:lang w:eastAsia="ru-RU"/>
          </w:rPr>
          <w:t>Ключевые слова</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7" w:anchor="part_3" w:history="1">
        <w:r w:rsidRPr="00FA4889">
          <w:rPr>
            <w:rFonts w:ascii="Helvetica" w:eastAsia="Times New Roman" w:hAnsi="Helvetica" w:cs="Helvetica"/>
            <w:color w:val="336688"/>
            <w:sz w:val="24"/>
            <w:szCs w:val="24"/>
            <w:lang w:eastAsia="ru-RU"/>
          </w:rPr>
          <w:t>Список сокращений</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8" w:anchor="part_4" w:history="1">
        <w:r w:rsidRPr="00FA4889">
          <w:rPr>
            <w:rFonts w:ascii="Helvetica" w:eastAsia="Times New Roman" w:hAnsi="Helvetica" w:cs="Helvetica"/>
            <w:color w:val="336688"/>
            <w:sz w:val="24"/>
            <w:szCs w:val="24"/>
            <w:lang w:eastAsia="ru-RU"/>
          </w:rPr>
          <w:t>Термины и определения</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9" w:anchor="part_5" w:history="1">
        <w:r w:rsidRPr="00FA4889">
          <w:rPr>
            <w:rFonts w:ascii="Helvetica" w:eastAsia="Times New Roman" w:hAnsi="Helvetica" w:cs="Helvetica"/>
            <w:color w:val="336688"/>
            <w:sz w:val="24"/>
            <w:szCs w:val="24"/>
            <w:lang w:eastAsia="ru-RU"/>
          </w:rPr>
          <w:t>1. Краткая информация</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0" w:anchor="part_6" w:history="1">
        <w:r w:rsidRPr="00FA4889">
          <w:rPr>
            <w:rFonts w:ascii="Helvetica" w:eastAsia="Times New Roman" w:hAnsi="Helvetica" w:cs="Helvetica"/>
            <w:color w:val="336688"/>
            <w:sz w:val="24"/>
            <w:szCs w:val="24"/>
            <w:lang w:eastAsia="ru-RU"/>
          </w:rPr>
          <w:t>2. Диагностика</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1" w:anchor="part_7" w:history="1">
        <w:r w:rsidRPr="00FA4889">
          <w:rPr>
            <w:rFonts w:ascii="Helvetica" w:eastAsia="Times New Roman" w:hAnsi="Helvetica" w:cs="Helvetica"/>
            <w:color w:val="336688"/>
            <w:sz w:val="24"/>
            <w:szCs w:val="24"/>
            <w:lang w:eastAsia="ru-RU"/>
          </w:rPr>
          <w:t>3. Лечение</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2" w:anchor="part_8" w:history="1">
        <w:r w:rsidRPr="00FA4889">
          <w:rPr>
            <w:rFonts w:ascii="Helvetica" w:eastAsia="Times New Roman" w:hAnsi="Helvetica" w:cs="Helvetica"/>
            <w:color w:val="336688"/>
            <w:sz w:val="24"/>
            <w:szCs w:val="24"/>
            <w:lang w:eastAsia="ru-RU"/>
          </w:rPr>
          <w:t>4. Реабилитация</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3" w:anchor="part_9" w:history="1">
        <w:r w:rsidRPr="00FA4889">
          <w:rPr>
            <w:rFonts w:ascii="Helvetica" w:eastAsia="Times New Roman" w:hAnsi="Helvetica" w:cs="Helvetica"/>
            <w:color w:val="336688"/>
            <w:sz w:val="24"/>
            <w:szCs w:val="24"/>
            <w:lang w:eastAsia="ru-RU"/>
          </w:rPr>
          <w:t>5. Профилактика и диспансерное наблюдение</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4" w:anchor="part_10" w:history="1">
        <w:r w:rsidRPr="00FA4889">
          <w:rPr>
            <w:rFonts w:ascii="Helvetica" w:eastAsia="Times New Roman" w:hAnsi="Helvetica" w:cs="Helvetica"/>
            <w:color w:val="336688"/>
            <w:sz w:val="24"/>
            <w:szCs w:val="24"/>
            <w:lang w:eastAsia="ru-RU"/>
          </w:rPr>
          <w:t>6. Дополнительная информация, влияющая на течение и исход заболевания</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5" w:anchor="part_11" w:history="1">
        <w:r w:rsidRPr="00FA4889">
          <w:rPr>
            <w:rFonts w:ascii="Helvetica" w:eastAsia="Times New Roman" w:hAnsi="Helvetica" w:cs="Helvetica"/>
            <w:color w:val="336688"/>
            <w:sz w:val="24"/>
            <w:szCs w:val="24"/>
            <w:lang w:eastAsia="ru-RU"/>
          </w:rPr>
          <w:t>Критерии оценки качества медицинской помощи</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6" w:anchor="part_12" w:history="1">
        <w:r w:rsidRPr="00FA4889">
          <w:rPr>
            <w:rFonts w:ascii="Helvetica" w:eastAsia="Times New Roman" w:hAnsi="Helvetica" w:cs="Helvetica"/>
            <w:color w:val="336688"/>
            <w:sz w:val="24"/>
            <w:szCs w:val="24"/>
            <w:lang w:eastAsia="ru-RU"/>
          </w:rPr>
          <w:t>Список литературы</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7" w:anchor="part_13" w:history="1">
        <w:r w:rsidRPr="00FA4889">
          <w:rPr>
            <w:rFonts w:ascii="Helvetica" w:eastAsia="Times New Roman" w:hAnsi="Helvetica" w:cs="Helvetica"/>
            <w:color w:val="336688"/>
            <w:sz w:val="24"/>
            <w:szCs w:val="24"/>
            <w:lang w:eastAsia="ru-RU"/>
          </w:rPr>
          <w:t>Приложение А1. Состав рабочей группы</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8" w:anchor="part_14" w:history="1">
        <w:r w:rsidRPr="00FA4889">
          <w:rPr>
            <w:rFonts w:ascii="Helvetica" w:eastAsia="Times New Roman" w:hAnsi="Helvetica" w:cs="Helvetica"/>
            <w:color w:val="336688"/>
            <w:sz w:val="24"/>
            <w:szCs w:val="24"/>
            <w:lang w:eastAsia="ru-RU"/>
          </w:rPr>
          <w:t>Приложение А2. Методология разработки клинических рекомендаций</w:t>
        </w:r>
      </w:hyperlink>
    </w:p>
    <w:p w:rsidR="00FA4889" w:rsidRPr="00FA4889" w:rsidRDefault="00FA4889" w:rsidP="00FA48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9" w:anchor="part_17" w:history="1">
        <w:r w:rsidRPr="00FA4889">
          <w:rPr>
            <w:rFonts w:ascii="Helvetica" w:eastAsia="Times New Roman" w:hAnsi="Helvetica" w:cs="Helvetica"/>
            <w:color w:val="336688"/>
            <w:sz w:val="24"/>
            <w:szCs w:val="24"/>
            <w:lang w:eastAsia="ru-RU"/>
          </w:rPr>
          <w:t>Приложение В. Информация для пациентов</w:t>
        </w:r>
      </w:hyperlink>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Ключевые слова</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Аутоиммунные осложнения</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Велофарингеальная недостаточность</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Врожденный порок сердца</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Гипокальциемия</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Гипопаратиреоз</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Делеция 22 хромосомы</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Дефект Т-клеточного звена</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Задержка речевого и психомоторного развития</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Задержка физического развития</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Внутривенные иммуноглобулины</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Инфекционные осложнения</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Расщепление неба и верхней губы</w:t>
      </w:r>
    </w:p>
    <w:p w:rsidR="00FA4889" w:rsidRPr="00FA4889" w:rsidRDefault="00FA4889" w:rsidP="00FA4889">
      <w:pPr>
        <w:numPr>
          <w:ilvl w:val="0"/>
          <w:numId w:val="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Синдром ДиДжорджи</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Список сокращений</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АИГА – аутоиммунная гемолитическая анемия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АЛТ — аланинаминотрансфераза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АСТ — аспартатаминотрансфераза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ВВИГ — внутривенные иммуноглобулины</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ВЗК – воспалительные заболевания кишечника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ВПС – врожденный порок сердца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ГКС — глюкокортикостероиды</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ДНК — дезоксирибонуклеиновая кислота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ЖКТ — желудочно-кишечный тракт</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ИТП – иммунная тромбоцитопения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КМ — костный мозг</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КТ — компьютерная томография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ЛОР - ларингооторинолог</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ЛПУ — лечебно-профилактическое учреждение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МЗ — Министерство здравоохранения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МКБ-10 — Международная классификация болезней 10-го пересмотра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МРТ —магнитно-резонансная томография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РКИ — рандомизированные контролируемые исследования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РНК — рибонуклеиновая кислота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РФ — Российская Федерация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Синдром del 22q11 – синдром делеции 22 хромосомы=синдром ДиДжорджи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СДД - синдром ДиДжорджи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ТГСК – трансплантация гемопоэтических стволовых клеток</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УЗИ – ультразвуковое исследование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ЭКГ – электрокардиограмма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ЭхоКГ -эхокардиография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ЮРА – ювенильный ревматоидный артрит</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del 22q11.2 – делеция длинного плеча 22 хромосомы локус 11.2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САТСН 22 - Cardiac defects, Abnormal facies, Thymic hypoplasia, Cleft palate, Hypocalcemia, 22q deletion – порок сердца, лицевые аномалии, гипоплазия тимуса, расщелина неба, гипокальцемия, делеция 22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val="en-US" w:eastAsia="ru-RU"/>
        </w:rPr>
      </w:pPr>
      <w:r w:rsidRPr="00FA4889">
        <w:rPr>
          <w:rFonts w:ascii="Helvetica" w:eastAsia="Times New Roman" w:hAnsi="Helvetica" w:cs="Helvetica"/>
          <w:color w:val="333333"/>
          <w:sz w:val="24"/>
          <w:szCs w:val="24"/>
          <w:lang w:val="en-US" w:eastAsia="ru-RU"/>
        </w:rPr>
        <w:t xml:space="preserve">FISH –fluorescent in situ hybridization - </w:t>
      </w:r>
      <w:r w:rsidRPr="00FA4889">
        <w:rPr>
          <w:rFonts w:ascii="Helvetica" w:eastAsia="Times New Roman" w:hAnsi="Helvetica" w:cs="Helvetica"/>
          <w:color w:val="333333"/>
          <w:sz w:val="24"/>
          <w:szCs w:val="24"/>
          <w:lang w:eastAsia="ru-RU"/>
        </w:rPr>
        <w:t>флуоресцентная</w:t>
      </w:r>
      <w:r w:rsidRPr="00FA4889">
        <w:rPr>
          <w:rFonts w:ascii="Helvetica" w:eastAsia="Times New Roman" w:hAnsi="Helvetica" w:cs="Helvetica"/>
          <w:color w:val="333333"/>
          <w:sz w:val="24"/>
          <w:szCs w:val="24"/>
          <w:lang w:val="en-US" w:eastAsia="ru-RU"/>
        </w:rPr>
        <w:t xml:space="preserve"> </w:t>
      </w:r>
      <w:r w:rsidRPr="00FA4889">
        <w:rPr>
          <w:rFonts w:ascii="Helvetica" w:eastAsia="Times New Roman" w:hAnsi="Helvetica" w:cs="Helvetica"/>
          <w:color w:val="333333"/>
          <w:sz w:val="24"/>
          <w:szCs w:val="24"/>
          <w:lang w:eastAsia="ru-RU"/>
        </w:rPr>
        <w:t>гибридизация</w:t>
      </w:r>
      <w:r w:rsidRPr="00FA4889">
        <w:rPr>
          <w:rFonts w:ascii="Helvetica" w:eastAsia="Times New Roman" w:hAnsi="Helvetica" w:cs="Helvetica"/>
          <w:color w:val="333333"/>
          <w:sz w:val="24"/>
          <w:szCs w:val="24"/>
          <w:lang w:val="en-US" w:eastAsia="ru-RU"/>
        </w:rPr>
        <w:t xml:space="preserve"> in situ</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val="en-US" w:eastAsia="ru-RU"/>
        </w:rPr>
      </w:pPr>
      <w:r w:rsidRPr="00FA4889">
        <w:rPr>
          <w:rFonts w:ascii="Helvetica" w:eastAsia="Times New Roman" w:hAnsi="Helvetica" w:cs="Helvetica"/>
          <w:color w:val="333333"/>
          <w:sz w:val="24"/>
          <w:szCs w:val="24"/>
          <w:lang w:eastAsia="ru-RU"/>
        </w:rPr>
        <w:t>ТВХ</w:t>
      </w:r>
      <w:r w:rsidRPr="00FA4889">
        <w:rPr>
          <w:rFonts w:ascii="Helvetica" w:eastAsia="Times New Roman" w:hAnsi="Helvetica" w:cs="Helvetica"/>
          <w:color w:val="333333"/>
          <w:sz w:val="24"/>
          <w:szCs w:val="24"/>
          <w:lang w:val="en-US" w:eastAsia="ru-RU"/>
        </w:rPr>
        <w:t xml:space="preserve"> 1 </w:t>
      </w:r>
      <w:r w:rsidRPr="00FA4889">
        <w:rPr>
          <w:rFonts w:ascii="Helvetica" w:eastAsia="Times New Roman" w:hAnsi="Helvetica" w:cs="Helvetica"/>
          <w:color w:val="333333"/>
          <w:sz w:val="24"/>
          <w:szCs w:val="24"/>
          <w:lang w:eastAsia="ru-RU"/>
        </w:rPr>
        <w:t>ген</w:t>
      </w:r>
      <w:r w:rsidRPr="00FA4889">
        <w:rPr>
          <w:rFonts w:ascii="Helvetica" w:eastAsia="Times New Roman" w:hAnsi="Helvetica" w:cs="Helvetica"/>
          <w:color w:val="333333"/>
          <w:sz w:val="24"/>
          <w:szCs w:val="24"/>
          <w:lang w:val="en-US" w:eastAsia="ru-RU"/>
        </w:rPr>
        <w:t xml:space="preserve"> –</w:t>
      </w:r>
      <w:r w:rsidRPr="00FA4889">
        <w:rPr>
          <w:rFonts w:ascii="Helvetica" w:eastAsia="Times New Roman" w:hAnsi="Helvetica" w:cs="Helvetica"/>
          <w:color w:val="333333"/>
          <w:sz w:val="24"/>
          <w:szCs w:val="24"/>
          <w:lang w:eastAsia="ru-RU"/>
        </w:rPr>
        <w:t>Т</w:t>
      </w:r>
      <w:r w:rsidRPr="00FA4889">
        <w:rPr>
          <w:rFonts w:ascii="Helvetica" w:eastAsia="Times New Roman" w:hAnsi="Helvetica" w:cs="Helvetica"/>
          <w:color w:val="333333"/>
          <w:sz w:val="24"/>
          <w:szCs w:val="24"/>
          <w:lang w:val="en-US" w:eastAsia="ru-RU"/>
        </w:rPr>
        <w:t xml:space="preserve"> </w:t>
      </w:r>
      <w:r w:rsidRPr="00FA4889">
        <w:rPr>
          <w:rFonts w:ascii="Helvetica" w:eastAsia="Times New Roman" w:hAnsi="Helvetica" w:cs="Helvetica"/>
          <w:color w:val="333333"/>
          <w:sz w:val="24"/>
          <w:szCs w:val="24"/>
          <w:lang w:eastAsia="ru-RU"/>
        </w:rPr>
        <w:t>бокс</w:t>
      </w:r>
      <w:r w:rsidRPr="00FA4889">
        <w:rPr>
          <w:rFonts w:ascii="Helvetica" w:eastAsia="Times New Roman" w:hAnsi="Helvetica" w:cs="Helvetica"/>
          <w:color w:val="333333"/>
          <w:sz w:val="24"/>
          <w:szCs w:val="24"/>
          <w:lang w:val="en-US" w:eastAsia="ru-RU"/>
        </w:rPr>
        <w:t xml:space="preserve"> 1 </w:t>
      </w:r>
      <w:r w:rsidRPr="00FA4889">
        <w:rPr>
          <w:rFonts w:ascii="Helvetica" w:eastAsia="Times New Roman" w:hAnsi="Helvetica" w:cs="Helvetica"/>
          <w:color w:val="333333"/>
          <w:sz w:val="24"/>
          <w:szCs w:val="24"/>
          <w:lang w:eastAsia="ru-RU"/>
        </w:rPr>
        <w:t>ген</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val="en-US" w:eastAsia="ru-RU"/>
        </w:rPr>
      </w:pPr>
      <w:r w:rsidRPr="00FA4889">
        <w:rPr>
          <w:rFonts w:ascii="Helvetica" w:eastAsia="Times New Roman" w:hAnsi="Helvetica" w:cs="Helvetica"/>
          <w:color w:val="333333"/>
          <w:sz w:val="24"/>
          <w:szCs w:val="24"/>
          <w:lang w:val="en-US" w:eastAsia="ru-RU"/>
        </w:rPr>
        <w:t>TREC - T-cell Receptor Excision Circles</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Термины и определения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Внутривенные иммуноглобулины – </w:t>
      </w:r>
      <w:r w:rsidRPr="00FA4889">
        <w:rPr>
          <w:rFonts w:ascii="Helvetica" w:eastAsia="Times New Roman" w:hAnsi="Helvetica" w:cs="Helvetica"/>
          <w:color w:val="333333"/>
          <w:sz w:val="24"/>
          <w:szCs w:val="24"/>
          <w:lang w:eastAsia="ru-RU"/>
        </w:rPr>
        <w:t>препараты, содержащие преимущественно нормальный человеческий IgG. Изготовляются из пулированной плазмы тысяч здоровых доноров, с применением специальных методов очистки и вирусинактивации.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Делеция</w:t>
      </w:r>
      <w:r w:rsidRPr="00FA4889">
        <w:rPr>
          <w:rFonts w:ascii="Helvetica" w:eastAsia="Times New Roman" w:hAnsi="Helvetica" w:cs="Helvetica"/>
          <w:color w:val="333333"/>
          <w:sz w:val="24"/>
          <w:szCs w:val="24"/>
          <w:lang w:eastAsia="ru-RU"/>
        </w:rPr>
        <w:t> – потеря участка хромосомы</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Хромосомные аберрации</w:t>
      </w:r>
      <w:r w:rsidRPr="00FA4889">
        <w:rPr>
          <w:rFonts w:ascii="Helvetica" w:eastAsia="Times New Roman" w:hAnsi="Helvetica" w:cs="Helvetica"/>
          <w:color w:val="333333"/>
          <w:sz w:val="24"/>
          <w:szCs w:val="24"/>
          <w:lang w:eastAsia="ru-RU"/>
        </w:rPr>
        <w:t> – изменение числа и\или структуры хромосом</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Микрогнатия</w:t>
      </w:r>
      <w:r w:rsidRPr="00FA4889">
        <w:rPr>
          <w:rFonts w:ascii="Helvetica" w:eastAsia="Times New Roman" w:hAnsi="Helvetica" w:cs="Helvetica"/>
          <w:color w:val="333333"/>
          <w:sz w:val="24"/>
          <w:szCs w:val="24"/>
          <w:lang w:eastAsia="ru-RU"/>
        </w:rPr>
        <w:t> - недоразвитие (гипоплазия) челюстных костей.</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Ретрогнатия</w:t>
      </w:r>
      <w:r w:rsidRPr="00FA4889">
        <w:rPr>
          <w:rFonts w:ascii="Helvetica" w:eastAsia="Times New Roman" w:hAnsi="Helvetica" w:cs="Helvetica"/>
          <w:color w:val="333333"/>
          <w:sz w:val="24"/>
          <w:szCs w:val="24"/>
          <w:lang w:eastAsia="ru-RU"/>
        </w:rPr>
        <w:t> - смещение челюстной кости в дорзальном направлении (кзади)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Гипертелоризм</w:t>
      </w:r>
      <w:r w:rsidRPr="00FA4889">
        <w:rPr>
          <w:rFonts w:ascii="Helvetica" w:eastAsia="Times New Roman" w:hAnsi="Helvetica" w:cs="Helvetica"/>
          <w:color w:val="333333"/>
          <w:sz w:val="24"/>
          <w:szCs w:val="24"/>
          <w:lang w:eastAsia="ru-RU"/>
        </w:rPr>
        <w:t> - увеличенное расстояние между глазами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TREC</w:t>
      </w:r>
      <w:r w:rsidRPr="00FA4889">
        <w:rPr>
          <w:rFonts w:ascii="Helvetica" w:eastAsia="Times New Roman" w:hAnsi="Helvetica" w:cs="Helvetica"/>
          <w:color w:val="333333"/>
          <w:sz w:val="24"/>
          <w:szCs w:val="24"/>
          <w:lang w:eastAsia="ru-RU"/>
        </w:rPr>
        <w:t> – кольцевые фрагменты ДНК, образующиеся при развитии Т лимфоцитов в тимусе, в частности, в процессе формирования Т клеточного рецептора. Их концентрация в крови отражает эффективность тимопоэза. Используется для скрининга Т клеточных иммунодефицитов.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Трансплантация гематопоэтических стволовых клеток – </w:t>
      </w:r>
      <w:r w:rsidRPr="00FA4889">
        <w:rPr>
          <w:rFonts w:ascii="Helvetica" w:eastAsia="Times New Roman" w:hAnsi="Helvetica" w:cs="Helvetica"/>
          <w:color w:val="333333"/>
          <w:sz w:val="24"/>
          <w:szCs w:val="24"/>
          <w:lang w:eastAsia="ru-RU"/>
        </w:rPr>
        <w:t>метод лечения некоторых наследственных и приобретенных гематологических, онкологических и иммунных заболеваний, основанный на замене собственного, патологического кроветворения больного на нормальное кроветворение донора.</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1. Краткая информация</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1.1 Определение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Синдром делеции 22-й хромосомы (синдром del 22q11) или синдром ДиДжоржи (СДД) — это совокупность морфологических, иммунологических и неврологических изменений, которые являются следствием делеции длинного плеча одной копии 22-й хромосомы — del 22q11.2 [1,2].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В классическом понятии этот синдром представляет собой комплекс симптомов, состоящий из патологии лицевого скелета (расщелины твердого неба), врожденного порока сердца, иммунодефицита вследствие гипоплазии (аплазии) тимуса и гипокальциемии, как результат гипоплазии паращитовидной железы [1,3].</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Как ни один другой синдром, синдром del 22q11.2 вариабелен в количестве признаков и степени их выраженности, что и объясняет тот факт, что этот синдром в литературе имеет порядка десятка различных названий, включая синдром ДиДжорджи, САТСН 22, велокардиофациальный сидром, Шпринтцена синдром, Кайлера синдром, синдром лицевых и конотрункальных аномалий и т.д.[1,3,4].</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1.2 Этиология и патогенез</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 основе заболевания лежит нарушение формирования органов, происходящих их третьей жаберной дуги (нижняя часть лицевого скелета, тимус, паращитовидная железа, верхние отделы сердца и магистральных сосудов). Цитогенетические и молекулярные исследования показали, что делеция 22q11.2 является ведущей причиной СДД и возникает спорадически более чем в 90% случаев [5,6,7]. В 10% случаев делеция наследуется от одного из родителей, так как наследование происходит аутосомно- доминантным путем [1,4]. В редких случаях синдром является проявлением перестроек других хромосом, а также мутации гена ТВХ1 [4].</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Анализ ДНК пациентов с СДД хромосомы выявил, что в 85-90% случаев выпадающий участок является одним и тем же. Дефект находится между D22S427 на 22q11.21 и D22S801 на 22q11.23. В этом участке локализовано не менее 40 генов, что составляет около 3 млн пар нуклеиновых оснований. В 10-12% случаев встречаются более короткие делеции, которые составляют 1,5-2 млн парных оснований. Было описано несколько пациентов с синдромом делеции 22-й хромосомы, имеющих делеции за пределами наиболее часто выпадающих участков [5,6]. Результаты проведенных исследований свидетельствуют о том, что степень выраженности фенотипа не коррелирует с размером делеции, т.е. пациент с потерей 1,5 млн парных оснований может иметь такой же по тяжести фенотип, как и с делецией в 3 млн парных оснований [2,5]. Кроме того, было замечено, что вариабельность фенотипических проявлений варьирует как внутри одной семьи, так и между семьями, несмотря на идентичные участки делеции [5].</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Делеция вызывает выпадение участка, включающего ген ТВХ, ген фактора транскрипции, участвующего в развитии фарингеальных дуг [5,6]. Эти изменения, в свою очередь, ведут к нарушению формирования сердца и магистральных сосудов, иммунологическим изменениям, расщеплению нёба и верхней губы, гипопаратиреоидизму, задержке умственного развития.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Несмотря на то, что ТВХ1, без сомнения, является главным геном, формирующим фенотип при синдроме делеции 22-й хромосомы, в результате исследований были выявлены и другие гены, недостаточная экспрессия которых может играть роль в формировании фенотипических проявлений [6,7].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Учитывая результаты работ по выяснению молекулярных основ заболевания, ясно, что в формировании фенотипа играет роль комплексное нарушение экспрессии и взаимодействия генов, их модификаторов и других составляющих, что приводит к дальнейшему нарушению эмбрио- и органогенеза [4,5,7].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Соответственно, при отсутствии или нарушении функции и экспрессии генов и дальнейших процессов происходит формирование пороков развития, характерных для СДД [1,5].</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1.3 Эпидемиология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Синдром делеции 22-й хромосомы — одна из самых частых делеций среди других хромосомных аберраций в человеческом геноме, по частоте она уступает лишь синдрому Дауна, трисомии по 21-й хромосоме. Частота встречаемости варьирует от 1:4000 до 1:6000 новорожденных [1,2,3]. Не наблюдается ни половой, ни этнической предрасположенности к данному синдрому. Большинство пациентов с СДД имеют патологию лицевого скелета и врожденный порок сердца и развивают гипокальциемию вскоре после рождения [6]. Пациенты, не имеющие данных симптомов, зачастую диагностируются в раннем возрасте, и правильный значительно запаздывает.</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1.4 Кодирование по МКБ-10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Другие иммунодефициты </w:t>
      </w:r>
      <w:r w:rsidRPr="00FA4889">
        <w:rPr>
          <w:rFonts w:ascii="Helvetica" w:eastAsia="Times New Roman" w:hAnsi="Helvetica" w:cs="Helvetica"/>
          <w:color w:val="333333"/>
          <w:sz w:val="24"/>
          <w:szCs w:val="24"/>
          <w:lang w:eastAsia="ru-RU"/>
        </w:rPr>
        <w:t>(D84):</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D84.1 – Синдром ДиГеорга.</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1.5 Классификация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Исторически сложилось, что в литературе часто используется разделение синдрома на полный и неполный (частичный) [1,3,5]:</w:t>
      </w:r>
    </w:p>
    <w:p w:rsidR="00FA4889" w:rsidRPr="00FA4889" w:rsidRDefault="00FA4889" w:rsidP="00FA4889">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Термин «Полный синдром ДиДжорджи» использовался у пациентов, имеющих полный спектр типичных проявлений, включая выраженный иммунодефицит.</w:t>
      </w:r>
    </w:p>
    <w:p w:rsidR="00FA4889" w:rsidRPr="00FA4889" w:rsidRDefault="00FA4889" w:rsidP="00FA4889">
      <w:pPr>
        <w:numPr>
          <w:ilvl w:val="0"/>
          <w:numId w:val="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Термин «Частичный синдром ДиДжорджи» использовался у пациентов, если они имели лишь некоторые типичные признаки, особенно без проявлений выраженного иммунодефицита. Частичный синдром делеции 22-й хромосомы в значительной степени превалирует по количеству в сравнении с полным.</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2. Диагностика</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2.1 Жалобы и анамнез</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Спектр клинических проявлений при синдроме делеции 22-й хромосомы достаточно широк [3,6,9,11,12,14,15], поэтому жалобы и анамнез заболевания могут быть крайне разнообразными и различными по степени выраженности:</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Врожденный порок сердца представлен не менее, чем в 80% случаев. Некоторые из пороков являются более патогномоничными: прерывание дуги аорты, общий артериальный ствол и тетрада Фалло являются наиболее частыми среди данной группы детей [6,11].</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Гипокальциемия/гипопаратиреоз может проявляться судорожным синдромом при выраженном дефиците кальция в младенческом возрасте [6,12].</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lastRenderedPageBreak/>
        <w:t>Поражение носоглоточного аппарата выявлено примерно в 70% случаев и проявляется в виде велофарингеальной недостаточности, расщеплении нёба, губы, раздвоении уздечки нёба, гнусавым оттенком голоса, также описано снижение обоняния, кондуктивная и/или сен- соневральная тугоухость [6,10,13].</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Характерные черты лица (удлиненное лицо, микрогнатия или ретрогнатия, широкая переносица, мелкие зубы, асимметрия лица при плаче, опущенные вниз уголки рта, глазной гипертелоризм, низко посаженные и деформированные ушные раковины, бульбообразный кончик носа) [2,5,10].</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Иммунологические нарушения встречаются в 77% случаев. Однако инфекционные проявления вследствие дефекта иммунной системы дебютируют не с рождения. Чаще других звеньев поражается Т-клеточное звено, что проявляется предрасположенностью к грибковым заболеваниям, пневмоцистной инфекции, некоторым бактериальным и вирусным инфекциям [1,8,10].</w:t>
      </w:r>
    </w:p>
    <w:p w:rsidR="00FA4889" w:rsidRPr="00FA4889" w:rsidRDefault="00FA4889" w:rsidP="00FA4889">
      <w:pPr>
        <w:numPr>
          <w:ilvl w:val="0"/>
          <w:numId w:val="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Нарушение выработки Т-клеток может предрасполагать к аутоиммунным заболеваниям. Описаны такие осложнения синдрома делеции 22-й хромосомы, как ЮРА, ХТП, АИГА, ВЗК, болезнь Грейвса, аутоиммунный увеит, бронхиальная астма [1,9,10,14].</w:t>
      </w:r>
    </w:p>
    <w:p w:rsidR="00FA4889" w:rsidRPr="00FA4889" w:rsidRDefault="00FA4889" w:rsidP="00FA4889">
      <w:pPr>
        <w:numPr>
          <w:ilvl w:val="0"/>
          <w:numId w:val="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Задержка физического развития нередко наблюдается у пациентов с синдромом делеции 22q11.2-й хромосомы, которые несколько отличаются от стандартных таблиц [1,2,6,10].</w:t>
      </w:r>
    </w:p>
    <w:p w:rsidR="00FA4889" w:rsidRPr="00FA4889" w:rsidRDefault="00FA4889" w:rsidP="00FA4889">
      <w:pPr>
        <w:numPr>
          <w:ilvl w:val="0"/>
          <w:numId w:val="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Задержка речевого и психомоторного развития наблюдается у 70—90% и проявляется с возрастом, однако тестирование пациентов с задержкой развития имеет смысл только в случаях сочетании с другими признаками [2,10,15].</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2.2 Физикальное обследование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Физическое развитие большинства пациентов низкое и дисгармоничное по весу [1,10].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Стигмы дисэмбриогенеза широко вариабельны и не являются патогномоничными, однако чаще других признаков обращают на себя вни</w:t>
      </w:r>
      <w:r w:rsidRPr="00FA4889">
        <w:rPr>
          <w:rFonts w:ascii="Helvetica" w:eastAsia="Times New Roman" w:hAnsi="Helvetica" w:cs="Helvetica"/>
          <w:i/>
          <w:iCs/>
          <w:color w:val="333333"/>
          <w:sz w:val="24"/>
          <w:szCs w:val="24"/>
          <w:lang w:eastAsia="ru-RU"/>
        </w:rPr>
        <w:softHyphen/>
        <w:t>мание глазной гипертелоризм, бульбообразный кончик носа и низко посаженные и\ или деформированные ушные раковины [6,10,13]. Могут проявляться признаки дыхательной и сердечной недостаточно</w:t>
      </w:r>
      <w:r w:rsidRPr="00FA4889">
        <w:rPr>
          <w:rFonts w:ascii="Helvetica" w:eastAsia="Times New Roman" w:hAnsi="Helvetica" w:cs="Helvetica"/>
          <w:i/>
          <w:iCs/>
          <w:color w:val="333333"/>
          <w:sz w:val="24"/>
          <w:szCs w:val="24"/>
          <w:lang w:eastAsia="ru-RU"/>
        </w:rPr>
        <w:softHyphen/>
        <w:t>сти [2,11]. Могут встречаться пороки развития дыхательной, пищеварительной, костно-мышечной и других систем. Задержка умственного и речевого развития встречается у подавляющего числа пациентов с данным синдромом [2,3,15].</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2.3 Лабораторная диагностика</w:t>
      </w:r>
    </w:p>
    <w:p w:rsidR="00FA4889" w:rsidRPr="00FA4889" w:rsidRDefault="00FA4889" w:rsidP="00FA4889">
      <w:pPr>
        <w:numPr>
          <w:ilvl w:val="0"/>
          <w:numId w:val="7"/>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клинический анализ крови [2,3].</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8"/>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уровня ионизированного кальция, паратиреоиного гормона [12].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lastRenderedPageBreak/>
        <w:t>Уровень убедительности рекомендаций В (уровень достоверности доказательств – 2)</w:t>
      </w:r>
    </w:p>
    <w:p w:rsidR="00FA4889" w:rsidRPr="00FA4889" w:rsidRDefault="00FA4889" w:rsidP="00FA4889">
      <w:pPr>
        <w:numPr>
          <w:ilvl w:val="0"/>
          <w:numId w:val="9"/>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уровня гормонов щитовидной железы [12].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С (уровень достоверности доказательств – 3)</w:t>
      </w:r>
    </w:p>
    <w:p w:rsidR="00FA4889" w:rsidRPr="00FA4889" w:rsidRDefault="00FA4889" w:rsidP="00FA4889">
      <w:pPr>
        <w:numPr>
          <w:ilvl w:val="0"/>
          <w:numId w:val="10"/>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уровня сывороточных иммуноглобулинов и клеточного иммунитета, включая определение количества наивных Т-лимфоцитов [1,10,16,17].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Отмечается незначительная лимфопения. Характерно снижение содержания различных субпопуляций Т-клеток. Содержание иммуноглобулинов, как правило, нормальное, иногда повышен IgE и снижен IgA. Общее количество CD3+ Т-клеток снижено, однако CD4 / CD8 соотношение не нарушено. Соотношение наивных Т-клеток / Т-клеток памяти понижено [1,10,16,17].</w:t>
      </w:r>
    </w:p>
    <w:p w:rsidR="00FA4889" w:rsidRPr="00FA4889" w:rsidRDefault="00FA4889" w:rsidP="00FA4889">
      <w:pPr>
        <w:numPr>
          <w:ilvl w:val="0"/>
          <w:numId w:val="11"/>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митогенного ответа (Т-клеточный пролиферативный ответ на воздей</w:t>
      </w:r>
      <w:r w:rsidRPr="00FA4889">
        <w:rPr>
          <w:rFonts w:ascii="Helvetica" w:eastAsia="Times New Roman" w:hAnsi="Helvetica" w:cs="Helvetica"/>
          <w:color w:val="333333"/>
          <w:sz w:val="24"/>
          <w:szCs w:val="24"/>
          <w:lang w:eastAsia="ru-RU"/>
        </w:rPr>
        <w:softHyphen/>
        <w:t>ствие антигенов) [17].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 </w:t>
      </w:r>
      <w:r w:rsidRPr="00FA4889">
        <w:rPr>
          <w:rFonts w:ascii="Helvetica" w:eastAsia="Times New Roman" w:hAnsi="Helvetica" w:cs="Helvetica"/>
          <w:i/>
          <w:iCs/>
          <w:color w:val="333333"/>
          <w:sz w:val="24"/>
          <w:szCs w:val="24"/>
          <w:lang w:eastAsia="ru-RU"/>
        </w:rPr>
        <w:t>Ответ лимфоцитов после стимуляции митогеном отсутствует, снижен, или нормальный (в зависимости от степени гипоплазии тимуса) [17].</w:t>
      </w:r>
    </w:p>
    <w:p w:rsidR="00FA4889" w:rsidRPr="00FA4889" w:rsidRDefault="00FA4889" w:rsidP="00FA4889">
      <w:pPr>
        <w:numPr>
          <w:ilvl w:val="0"/>
          <w:numId w:val="1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уровня TREC (T-cell Receptor Excision Circles) [10,17].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numPr>
          <w:ilvl w:val="0"/>
          <w:numId w:val="1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исследование уровня специфических антител, если ребенок вакцинирован [9,10,17].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Содержание сывороточных иммуноглобулинов может быть не нарушено, однако ответ на иммунизацию часто снижен [9,10,17].</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2.4 Инструментальная диагностика</w:t>
      </w:r>
    </w:p>
    <w:p w:rsidR="00FA4889" w:rsidRPr="00FA4889" w:rsidRDefault="00FA4889" w:rsidP="00FA4889">
      <w:pPr>
        <w:numPr>
          <w:ilvl w:val="0"/>
          <w:numId w:val="1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проведение электрокардиографии (ЭКГ) [2,11,18].</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1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проведение эхокардиграфии (ЭхоКГ) [2,3,6,11,18].</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1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Рекомендуется проведение ультразвукового исследования (УЗИ) органов мочевыводящей системы [10,16].</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С (уровень достоверности доказательств – 3)</w:t>
      </w:r>
    </w:p>
    <w:p w:rsidR="00FA4889" w:rsidRPr="00FA4889" w:rsidRDefault="00FA4889" w:rsidP="00FA4889">
      <w:pPr>
        <w:numPr>
          <w:ilvl w:val="0"/>
          <w:numId w:val="17"/>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проведение рентгенографии (РГ) органов грудной клетки [2,3,10].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 </w:t>
      </w:r>
      <w:r w:rsidRPr="00FA4889">
        <w:rPr>
          <w:rFonts w:ascii="Helvetica" w:eastAsia="Times New Roman" w:hAnsi="Helvetica" w:cs="Helvetica"/>
          <w:i/>
          <w:iCs/>
          <w:color w:val="333333"/>
          <w:sz w:val="24"/>
          <w:szCs w:val="24"/>
          <w:lang w:eastAsia="ru-RU"/>
        </w:rPr>
        <w:t>Визуализация может показать отсутствие тени тимуса [2,3,10].</w:t>
      </w:r>
    </w:p>
    <w:p w:rsidR="00FA4889" w:rsidRPr="00FA4889" w:rsidRDefault="00FA4889" w:rsidP="00FA4889">
      <w:pPr>
        <w:numPr>
          <w:ilvl w:val="0"/>
          <w:numId w:val="18"/>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назофарингеальная эндоскопия [9,10].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19"/>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проведение аудиометрии [3].</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20"/>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офтальмологическое обследование [2,3].</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21"/>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оценка физического развития [1,2,16].</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2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магнитно-резонансная томография (МРТ)/компьютерная томография (КТ) по показаниям [10].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2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ангиография по показаниям [10].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2.5 Иная диагностика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2.5.1 Молекулярно-генетическое обследование</w:t>
      </w:r>
    </w:p>
    <w:p w:rsidR="00FA4889" w:rsidRPr="00FA4889" w:rsidRDefault="00FA4889" w:rsidP="00FA4889">
      <w:pPr>
        <w:numPr>
          <w:ilvl w:val="0"/>
          <w:numId w:val="2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молекулярно-генетическое исследование методом флюоресцентной гибридизации in situ (FISH) с ДНК-зондом TUPLE 1 (HIRA) [6,7,8].</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25"/>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молекулярно-генетическое исследование методом полимеразной цепной реакции и электрофореза с помощью анализа микросателлитного полиморфизма по определенным локусам, перекрывающим область делеции 22-й хромосомы [7].</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lastRenderedPageBreak/>
        <w:t>Уровень убедительности рекомендаций А (уровень достоверности доказательств – 1)</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Встречаются пациенты с клиническими проявлениями синдрома делеции 22-й хромосомы, но с отрицательными результатами по диагностике делеции 22-й хромосомы. В таких случаях нельзя исключить мутации в гене ТВХ1 [7].</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2.5.2 Консультации специалистов </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Рекомендуются консультации следующих специалистов:</w:t>
      </w:r>
      <w:r w:rsidRPr="00FA4889">
        <w:rPr>
          <w:rFonts w:ascii="Helvetica" w:eastAsia="Times New Roman" w:hAnsi="Helvetica" w:cs="Helvetica"/>
          <w:b/>
          <w:bCs/>
          <w:i/>
          <w:iCs/>
          <w:color w:val="333333"/>
          <w:sz w:val="24"/>
          <w:szCs w:val="24"/>
          <w:lang w:eastAsia="ru-RU"/>
        </w:rPr>
        <w:t> </w:t>
      </w:r>
      <w:r w:rsidRPr="00FA4889">
        <w:rPr>
          <w:rFonts w:ascii="Helvetica" w:eastAsia="Times New Roman" w:hAnsi="Helvetica" w:cs="Helvetica"/>
          <w:i/>
          <w:iCs/>
          <w:color w:val="333333"/>
          <w:sz w:val="24"/>
          <w:szCs w:val="24"/>
          <w:lang w:eastAsia="ru-RU"/>
        </w:rPr>
        <w:t>кардиолога; иммунолога; челюстно-лицевого хирурга; эндокринолога; ЛОР-врача; офтальмолога; невролога/психиатра; других специалистов по показаниям [1,3,9].</w:t>
      </w:r>
    </w:p>
    <w:p w:rsidR="00FA4889" w:rsidRPr="00FA4889" w:rsidRDefault="00FA4889" w:rsidP="00FA4889">
      <w:pPr>
        <w:shd w:val="clear" w:color="auto" w:fill="FFFFFF"/>
        <w:spacing w:after="0" w:line="240" w:lineRule="auto"/>
        <w:rPr>
          <w:rFonts w:ascii="Helvetica" w:eastAsia="Times New Roman" w:hAnsi="Helvetica" w:cs="Helvetica"/>
          <w:color w:val="333333"/>
          <w:sz w:val="24"/>
          <w:szCs w:val="24"/>
          <w:lang w:val="en-US" w:eastAsia="ru-RU"/>
        </w:rPr>
      </w:pPr>
      <w:r w:rsidRPr="00FA4889">
        <w:rPr>
          <w:rFonts w:ascii="Helvetica" w:eastAsia="Times New Roman" w:hAnsi="Helvetica" w:cs="Helvetica"/>
          <w:color w:val="333333"/>
          <w:sz w:val="24"/>
          <w:szCs w:val="24"/>
          <w:lang w:val="en-US" w:eastAsia="ru-RU"/>
        </w:rPr>
        <w:t>T-cell Receptor Excision Circles</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val="en-US" w:eastAsia="ru-RU"/>
        </w:rPr>
      </w:pPr>
      <w:r w:rsidRPr="00FA4889">
        <w:rPr>
          <w:rFonts w:ascii="inherit" w:eastAsia="Times New Roman" w:hAnsi="inherit" w:cs="Helvetica"/>
          <w:b/>
          <w:bCs/>
          <w:color w:val="444444"/>
          <w:sz w:val="36"/>
          <w:szCs w:val="36"/>
          <w:lang w:val="en-US" w:eastAsia="ru-RU"/>
        </w:rPr>
        <w:t xml:space="preserve">3. </w:t>
      </w:r>
      <w:r w:rsidRPr="00FA4889">
        <w:rPr>
          <w:rFonts w:ascii="inherit" w:eastAsia="Times New Roman" w:hAnsi="inherit" w:cs="Helvetica"/>
          <w:b/>
          <w:bCs/>
          <w:color w:val="444444"/>
          <w:sz w:val="36"/>
          <w:szCs w:val="36"/>
          <w:lang w:eastAsia="ru-RU"/>
        </w:rPr>
        <w:t>Лечение</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3.1 Консервативное лечение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В настоящее время не существует куративной терапии данного заболевания.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Цель лечения: коррекция жизнеугрожающих морфологических дефектов, обеспечение приближенных к нормальным рост и развитие ребенка, обеспечение хорошего качества жизни пациента</w:t>
      </w:r>
    </w:p>
    <w:p w:rsidR="00FA4889" w:rsidRPr="00FA4889" w:rsidRDefault="00FA4889" w:rsidP="00FA4889">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заместительная терапия внутривенным иммуноглобулином человека нормальным в дозе 0.4-0.6 г/кг ежемесячно [1,2,3,10].</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антибактериальная терапия (наиболее часто используемые антибактериальные препараты: Ко-тримоксазол (Сульфаметоксазол + Триметоприм), Цефепим, Амикацин) [2,3,9]</w:t>
      </w:r>
      <w:r w:rsidRPr="00FA4889">
        <w:rPr>
          <w:rFonts w:ascii="Helvetica" w:eastAsia="Times New Roman" w:hAnsi="Helvetica" w:cs="Helvetica"/>
          <w:b/>
          <w:bCs/>
          <w:color w:val="333333"/>
          <w:sz w:val="24"/>
          <w:szCs w:val="24"/>
          <w:lang w:eastAsia="ru-RU"/>
        </w:rPr>
        <w:t>.</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противогрибковая терапия (флюконазол) [2,3,9]</w:t>
      </w:r>
      <w:r w:rsidRPr="00FA4889">
        <w:rPr>
          <w:rFonts w:ascii="Helvetica" w:eastAsia="Times New Roman" w:hAnsi="Helvetica" w:cs="Helvetica"/>
          <w:b/>
          <w:bCs/>
          <w:color w:val="333333"/>
          <w:sz w:val="24"/>
          <w:szCs w:val="24"/>
          <w:lang w:eastAsia="ru-RU"/>
        </w:rPr>
        <w:t>.</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26"/>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электролитная поддержка (Кальция хлорид) [3,9]</w:t>
      </w:r>
      <w:r w:rsidRPr="00FA4889">
        <w:rPr>
          <w:rFonts w:ascii="Helvetica" w:eastAsia="Times New Roman" w:hAnsi="Helvetica" w:cs="Helvetica"/>
          <w:b/>
          <w:bCs/>
          <w:color w:val="333333"/>
          <w:sz w:val="24"/>
          <w:szCs w:val="24"/>
          <w:lang w:eastAsia="ru-RU"/>
        </w:rPr>
        <w:t>.</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 xml:space="preserve">При возникновении аутоиммунных осложнений терапия их проводится по соответствующим протоколам. Пациенты с иммунологическими отклонениями получают терапию в зависимости от выраженности иммунного дефекта. Если дефект незначительный или умеренный, специфическая терапия не проводится, однако проводится контроль инфекционной заболеваемости. При значительном дефекте (выраженной Т-лимфопении и выраженном снижении мигогенного ответа) назначается профилактическая терапия триметоприм/сульфаметоксазолом. </w:t>
      </w:r>
      <w:r w:rsidRPr="00FA4889">
        <w:rPr>
          <w:rFonts w:ascii="Helvetica" w:eastAsia="Times New Roman" w:hAnsi="Helvetica" w:cs="Helvetica"/>
          <w:i/>
          <w:iCs/>
          <w:color w:val="333333"/>
          <w:sz w:val="24"/>
          <w:szCs w:val="24"/>
          <w:lang w:eastAsia="ru-RU"/>
        </w:rPr>
        <w:lastRenderedPageBreak/>
        <w:t>При снижении гуморального иммунитета проводится регулярная заместительная терапия ВВИГ. При наличии выраженного Т-клеточного дефекта прогноз крайне неблагоприятный, высок риск летального исхода.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У части детей метаболические и электролитные нарушения, преимущественно в виде гипокальциемии, вплоть до гипокальциемических судорог, требующие высоких доз введения кальция, в некоторых случаях витамина D [1,2,3,9,10].</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3.2 Хирургическое лечение</w:t>
      </w:r>
    </w:p>
    <w:p w:rsidR="00FA4889" w:rsidRPr="00FA4889" w:rsidRDefault="00FA4889" w:rsidP="00FA4889">
      <w:pPr>
        <w:numPr>
          <w:ilvl w:val="0"/>
          <w:numId w:val="27"/>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коррекция пороков сердца [1,3,9,18,20].</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Как правило, самый тяжелый период жизни для детей с синдромом Ди Джорджи обусловлен степенью поражения сердечно-сосудистой системы. Коррекция пороков сердца проводится по соответствующим клиническим рекомендациям [9,18].</w:t>
      </w:r>
    </w:p>
    <w:p w:rsidR="00FA4889" w:rsidRPr="00FA4889" w:rsidRDefault="00FA4889" w:rsidP="00FA4889">
      <w:pPr>
        <w:numPr>
          <w:ilvl w:val="0"/>
          <w:numId w:val="28"/>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коррекция пороков лицевого скелета [1,3,9,19,20].</w:t>
      </w:r>
    </w:p>
    <w:p w:rsidR="00FA4889" w:rsidRPr="00FA4889" w:rsidRDefault="00FA4889" w:rsidP="00FA4889">
      <w:pPr>
        <w:shd w:val="clear" w:color="auto" w:fill="FFFFFF"/>
        <w:spacing w:after="150" w:line="240" w:lineRule="auto"/>
        <w:ind w:left="720"/>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Наиболее часто коррекции подлежит расщепление нёба и верхней губы. Коррекция пороков лицевого скелета проводится по соответствующим клиническим рекомендациям [19,20].</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b/>
          <w:bCs/>
          <w:color w:val="333333"/>
          <w:sz w:val="32"/>
          <w:szCs w:val="32"/>
          <w:u w:val="single"/>
          <w:lang w:eastAsia="ru-RU"/>
        </w:rPr>
        <w:t>3.3 Иное лечение</w:t>
      </w:r>
    </w:p>
    <w:p w:rsidR="00FA4889" w:rsidRPr="00FA4889" w:rsidRDefault="00FA4889" w:rsidP="00FA4889">
      <w:pPr>
        <w:numPr>
          <w:ilvl w:val="0"/>
          <w:numId w:val="29"/>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Проведение ТГСК при синдроме делеции 22-й хромосомы не рекомендовано [2,10]. </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А (уровень достоверности доказательств – 1)</w:t>
      </w:r>
    </w:p>
    <w:p w:rsidR="00FA4889" w:rsidRPr="00FA4889" w:rsidRDefault="00FA4889" w:rsidP="00FA4889">
      <w:pPr>
        <w:numPr>
          <w:ilvl w:val="0"/>
          <w:numId w:val="30"/>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У пациентов раннего возраста при проблемах с кормлением и глотанием вследствие велофарингеальгой недостаточности рекомендуется установление гастростомы [9].</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В (уровень достоверности доказательств – 3)</w:t>
      </w:r>
    </w:p>
    <w:p w:rsidR="00FA4889" w:rsidRPr="00FA4889" w:rsidRDefault="00FA4889" w:rsidP="00FA4889">
      <w:pPr>
        <w:numPr>
          <w:ilvl w:val="0"/>
          <w:numId w:val="31"/>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Рекомендуется лечение у невролога, логопеда, психиатра [10,15].</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Уровень убедительности рекомендаций С (уровень достоверности доказательств – 3)</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Комментарии:</w:t>
      </w:r>
      <w:r w:rsidRPr="00FA4889">
        <w:rPr>
          <w:rFonts w:ascii="Helvetica" w:eastAsia="Times New Roman" w:hAnsi="Helvetica" w:cs="Helvetica"/>
          <w:color w:val="333333"/>
          <w:sz w:val="24"/>
          <w:szCs w:val="24"/>
          <w:lang w:eastAsia="ru-RU"/>
        </w:rPr>
        <w:t> </w:t>
      </w:r>
      <w:r w:rsidRPr="00FA4889">
        <w:rPr>
          <w:rFonts w:ascii="Helvetica" w:eastAsia="Times New Roman" w:hAnsi="Helvetica" w:cs="Helvetica"/>
          <w:i/>
          <w:iCs/>
          <w:color w:val="333333"/>
          <w:sz w:val="24"/>
          <w:szCs w:val="24"/>
          <w:lang w:eastAsia="ru-RU"/>
        </w:rPr>
        <w:t xml:space="preserve">При задержке развития речи пациентам дошкольного возраста рекомендована помощь невролога, логопеда. Главной проблемой в школьном возрасте являются проблемы с обучением и поведением. Синдром дефицита внимания, гиперактивность, аутистические заболевания, фобии встречаются чаще, чем в общей популяции детей. Большинство детей консультируются у </w:t>
      </w:r>
      <w:r w:rsidRPr="00FA4889">
        <w:rPr>
          <w:rFonts w:ascii="Helvetica" w:eastAsia="Times New Roman" w:hAnsi="Helvetica" w:cs="Helvetica"/>
          <w:i/>
          <w:iCs/>
          <w:color w:val="333333"/>
          <w:sz w:val="24"/>
          <w:szCs w:val="24"/>
          <w:lang w:eastAsia="ru-RU"/>
        </w:rPr>
        <w:lastRenderedPageBreak/>
        <w:t>неврологов, психологов и психиатров. Взрослые пациенты наблюдаются с диагнозами «психоз» или «шизофрения», «депрессия», «биполярный синдром» [10,15].</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4. Реабилитация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Специфические реабилитационные мероприятия не применяются.</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5. Профилактика и диспансерное наблюдение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Специфическая профилактика данного заболевания отсутствует. При семейных случаях СДД проведение семейного консультирования и пренатальной диагностики предотвращает рождение других детей с данным заболеванием в семье с СДД [21]. Пренатальная диагностика рекомендована, если один из родителей имеет делецию 22 хромосомы, так как в 50% случаев патология наследуется с более выраженной тяжестью. Проводится FISH-диагностика при выполнении амниоцентеза [1,9,20].</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Частота посещения того или иного специалиста и частота анализов зависит от клинических проявлений данного синдрома. Рекомендована годовая диспансеризация для контроля инфекционной заболевае</w:t>
      </w:r>
      <w:r w:rsidRPr="00FA4889">
        <w:rPr>
          <w:rFonts w:ascii="Helvetica" w:eastAsia="Times New Roman" w:hAnsi="Helvetica" w:cs="Helvetica"/>
          <w:i/>
          <w:iCs/>
          <w:color w:val="333333"/>
          <w:sz w:val="24"/>
          <w:szCs w:val="24"/>
          <w:lang w:eastAsia="ru-RU"/>
        </w:rPr>
        <w:softHyphen/>
        <w:t>мости, иммунологических показателей и функций основных систем организма.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Пациенты не должны вакцинироваться живыми вакцинами (корь, паротит, краснуха, ветряная оспа, живая полиомиелитная вакцина) [10,16]. Большинство пациентов наблюдаются психологами и психиатрами в течение всей жизни в связи с поведенческими проблемами различного характера [15].</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6. Дополнительная информация, влияющая на течение и исход заболевания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Предупреждение осложнений, характерных для разного возрастного периода, и адекватная терапия обеспечивают лучший прогноз пациенту.</w:t>
      </w:r>
    </w:p>
    <w:p w:rsidR="00FA4889" w:rsidRPr="00FA4889" w:rsidRDefault="00FA4889" w:rsidP="00FA4889">
      <w:pPr>
        <w:shd w:val="clear" w:color="auto" w:fill="FFFFFF"/>
        <w:spacing w:before="300" w:after="150" w:line="240" w:lineRule="auto"/>
        <w:outlineLvl w:val="1"/>
        <w:rPr>
          <w:rFonts w:ascii="inherit" w:eastAsia="Times New Roman" w:hAnsi="inherit" w:cs="Helvetica"/>
          <w:color w:val="333333"/>
          <w:sz w:val="32"/>
          <w:szCs w:val="32"/>
          <w:lang w:eastAsia="ru-RU"/>
        </w:rPr>
      </w:pPr>
      <w:r w:rsidRPr="00FA4889">
        <w:rPr>
          <w:rFonts w:ascii="inherit" w:eastAsia="Times New Roman" w:hAnsi="inherit" w:cs="Helvetica"/>
          <w:color w:val="333333"/>
          <w:sz w:val="32"/>
          <w:szCs w:val="32"/>
          <w:lang w:eastAsia="ru-RU"/>
        </w:rPr>
        <w:t>6.1 Отношение к рождению детей</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i/>
          <w:iCs/>
          <w:color w:val="333333"/>
          <w:sz w:val="24"/>
          <w:szCs w:val="24"/>
          <w:lang w:eastAsia="ru-RU"/>
        </w:rPr>
        <w:t>Известным фактором риска является наличие одного из родителей с синдромом делеции 22-й хромосомы, так как наследование является аутосомно-доминантным. Следовательно, 50% вероятности того, что патология унаследуется. При этом обнаружено, что у потомства синдром более выражен, чем у родителя. Большинство случаев с синдромом делеции 22-й хромосомы носит спорадический характер, и факторы риска неизвестны [1,4,7,8].</w:t>
      </w:r>
    </w:p>
    <w:p w:rsidR="00FA4889" w:rsidRPr="00FA4889" w:rsidRDefault="00FA4889" w:rsidP="00FA4889">
      <w:pPr>
        <w:shd w:val="clear" w:color="auto" w:fill="FFFFFF"/>
        <w:spacing w:before="30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Критерии оценки качества медицинской помощи</w:t>
      </w:r>
    </w:p>
    <w:tbl>
      <w:tblPr>
        <w:tblW w:w="0" w:type="auto"/>
        <w:tblCellMar>
          <w:top w:w="15" w:type="dxa"/>
          <w:left w:w="15" w:type="dxa"/>
          <w:bottom w:w="15" w:type="dxa"/>
          <w:right w:w="15" w:type="dxa"/>
        </w:tblCellMar>
        <w:tblLook w:val="04A0" w:firstRow="1" w:lastRow="0" w:firstColumn="1" w:lastColumn="0" w:noHBand="0" w:noVBand="1"/>
      </w:tblPr>
      <w:tblGrid>
        <w:gridCol w:w="8345"/>
        <w:gridCol w:w="1310"/>
      </w:tblGrid>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Критерий качества</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Значение</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 xml:space="preserve">Выполненаы клинический анализ крови с определением числа тромбоцитов, биохимический анализ крови, КЩС, клинический анализ мочи, </w:t>
            </w:r>
            <w:r w:rsidRPr="00FA4889">
              <w:rPr>
                <w:rFonts w:ascii="Times New Roman" w:eastAsia="Times New Roman" w:hAnsi="Times New Roman" w:cs="Times New Roman"/>
                <w:sz w:val="24"/>
                <w:szCs w:val="24"/>
                <w:lang w:eastAsia="ru-RU"/>
              </w:rPr>
              <w:lastRenderedPageBreak/>
              <w:t>коагулограмма, определение инфицированности ВИЧ, вирусами гепатита В и Си ЭКГ, ЭхоКГ, УЗИ брюшной полости, рентгенография грудной клетки</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lastRenderedPageBreak/>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lastRenderedPageBreak/>
              <w:t>Выполнено определение иммуноглобулинов сыворотки крови, специфических поствакцинальных антител, фенотипирование лимфоцитов крови, TREC</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Выполнено компьютерная томография легких и органов брюшной полости, челюстно-лицевого скелета</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Выполнено вирусологическое исследование для исключения вирусного поражения органов с помощью метода ПЦР</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Выполнено выявление делеции участка 22 хромосомы методом FISH или другими цитогенетическими методами</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Выполнена  консультация врача-кардиохирурга и челюстно-лицевого хирурга для решения вопроса о необходимости и объеме хирургической коррекции дефекта(ов) (при наличии порока сердца и аномалий лицевого скелета)</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Проведена заместительная терапия препаратами внутривенных иммуноглобулинов (в случае выявления снижения уровня иммуноглобулина G и\или нарушения специфического антителообразования)</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Да\нет</w:t>
            </w:r>
          </w:p>
        </w:tc>
      </w:tr>
    </w:tbl>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Список литературы</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Детская гематология/ Под ред: А.Г. Румянцева, А.А. Масчана, Е.В. Жуковской. Авторы :Айзенберг В.Л., Балашов Д.Н., Биккулова Д.Ш., Вдовин В.В., Володин Н.Н., Демихов В.Г., Демихова Е.В., Евдокимова М.А., Жарков П.А., Журина, О.Н., Зозуля Н.И., Инякова Н.В., Карачунский А.И., Клипинина Н.В., Копылов К.Г., Кузминова Ж.А., Кумирова Э.В., Кумскова М.А., Лазарев В.В., Луговская С.А., Лукина Е.А., Лунякова Е.А., Масчан М.А., Морщакова Е.Ф., Мякова Н.В., Новичкова Г.А., Орлов А.Б., Панкратьева Л.Л., Полевиченко Е.В., Птушкин В.В., Румянцева Ю.В., Самочатова Е.В., Свирин П.В., Сигарева И.А., Скворцова Ю.В., Скобин В.Б., Сметанина Н.С., Спиридонова Е.А., Стефаненко Е.А., Тарасова И.С., Хаин А.Е., Хамин И.Г., Харькин А.В., Хачатрян Л.А., Цветаева Н.В., Цыпин Л.Е., Чернов В.М., Щербина А.Ю., Щукин В.В.// Москва. Издательская группа « ГЭОТАР- Медиа» 2015 г. С. - 656.</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val="en-US" w:eastAsia="ru-RU"/>
        </w:rPr>
      </w:pPr>
      <w:r w:rsidRPr="00FA4889">
        <w:rPr>
          <w:rFonts w:ascii="Helvetica" w:eastAsia="Times New Roman" w:hAnsi="Helvetica" w:cs="Helvetica"/>
          <w:color w:val="333333"/>
          <w:sz w:val="24"/>
          <w:szCs w:val="24"/>
          <w:lang w:val="en-US" w:eastAsia="ru-RU"/>
        </w:rPr>
        <w:t>McDonald-McGinn D M, Sullivan K E. Chromosome 22q11.2 deletion syndrome (DiGeorge syndrome/velocardiofacial syndrome) Medicine (Baltimore) 2011;90(1):1–18.</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val="en-US" w:eastAsia="ru-RU"/>
        </w:rPr>
        <w:t xml:space="preserve">Maggadottir SM, Sullivan KE. The diverse clinical features of chromosome 22q11.2 deletion syndrome (DiGeorge syndrome). </w:t>
      </w:r>
      <w:r w:rsidRPr="00FA4889">
        <w:rPr>
          <w:rFonts w:ascii="Helvetica" w:eastAsia="Times New Roman" w:hAnsi="Helvetica" w:cs="Helvetica"/>
          <w:color w:val="333333"/>
          <w:sz w:val="24"/>
          <w:szCs w:val="24"/>
          <w:lang w:eastAsia="ru-RU"/>
        </w:rPr>
        <w:t>J Allergy Clin Immunol Pract. 2013 Nov-Dec;1(6):589-94.</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val="en-US" w:eastAsia="ru-RU"/>
        </w:rPr>
        <w:t xml:space="preserve">Lindsay EA. Chromosomal microdeletions: dissecting del22q11 syndrome. </w:t>
      </w:r>
      <w:r w:rsidRPr="00FA4889">
        <w:rPr>
          <w:rFonts w:ascii="Helvetica" w:eastAsia="Times New Roman" w:hAnsi="Helvetica" w:cs="Helvetica"/>
          <w:color w:val="333333"/>
          <w:sz w:val="24"/>
          <w:szCs w:val="24"/>
          <w:lang w:eastAsia="ru-RU"/>
        </w:rPr>
        <w:t>Nat Rev Genet. 2001 Nov;2(11):858-68.</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val="en-US" w:eastAsia="ru-RU"/>
        </w:rPr>
        <w:lastRenderedPageBreak/>
        <w:t xml:space="preserve">Oh A K, Workman L A, Wong G B. Clinical correlation of chromosome 22q11.2 fluorescent in situ hybridization analysis and velocardiofacial syndrome. </w:t>
      </w:r>
      <w:r w:rsidRPr="00FA4889">
        <w:rPr>
          <w:rFonts w:ascii="Helvetica" w:eastAsia="Times New Roman" w:hAnsi="Helvetica" w:cs="Helvetica"/>
          <w:color w:val="333333"/>
          <w:sz w:val="24"/>
          <w:szCs w:val="24"/>
          <w:lang w:eastAsia="ru-RU"/>
        </w:rPr>
        <w:t>Cleft Palate Craniofac J. 2007;44(1):62–66.</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val="en-US" w:eastAsia="ru-RU"/>
        </w:rPr>
        <w:t xml:space="preserve">Monteiro F P, Vieira T P, Sgardioli I C. et al. </w:t>
      </w:r>
      <w:r w:rsidRPr="00FA4889">
        <w:rPr>
          <w:rFonts w:ascii="Helvetica" w:eastAsia="Times New Roman" w:hAnsi="Helvetica" w:cs="Helvetica"/>
          <w:color w:val="333333"/>
          <w:sz w:val="24"/>
          <w:szCs w:val="24"/>
          <w:lang w:eastAsia="ru-RU"/>
        </w:rPr>
        <w:t>Defining new guidelines for screening the 22q11.2 deletion based on a clinical and dysmorphologic evaluation of 194 individuals and review of the literature. Eur J Pediatr. 2013;172(7):927–945.</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Zweier C, Sticht H, Aydin-Yaylag?l I, Campbell C E, Rauch A. Human TBX1 missense mutations cause gain of function resulting in the same phenotype as 22q11.2 deletions. Am J Hum Genet. 2007;80(3):510–517.</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Miller D T, Adam M P, Aradhya S. et al. Consensus statement: chromosomal microarray is a first-tier clinical diagnostic test for individuals with developmental disabilities or congenital anomalies. Am J Hum Genet. 2010;86(5):749–764.</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Davies EG. Immunodeficiency in DiGeorge Syndrome and Options for Treating Cases with Complete Athymia. Front Immunol. 2013 Oct 31;4:322.</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Bassett AS, McDonald-McGinn DM, Devriendt K, Digilio MC, Goldenberg P, Habel A, Marino B, Oskarsdottir S, Philip N, Sullivan K, Swillen A, Vorstman J. International 22q11.2 Deletion Syndrome Consortium. Practical guidelines for managing patients with 22q11.2 deletion syndrome. J Pediatr. 2011 Aug;159(2):332–9.e1.</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Kobayashi D, Sallaam S, Humes RA. Tetralogy of Fallot with complete DiGeorge syndrome: report of a case and a review of the literature. Congenit Heart Dis. 2013 Jul-Aug;8(4):E119-26.</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Chinn IK, Markert ML. Induction of tolerance to parental parathyroid grafts using allogeneic thymus tissue in patients with DiGeorge anomaly. J Allergy Clin Immunol. 2011 Jun;127(6):1351-5.</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Saffra N, Reinherz B. Keratoconus in an adult with 22q11.2 deletion syndrome. BMJ Case Rep. 2015 Jan 16;2015. pii: bcr2014203737.</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Damlaj M, S?guin C. Refractory autoimmune hemolytic anemia in a patient with DiGeorge syndrome treated successfully with plasma exchange: a case report and review of the literature. Int J Hematol. 2014 Nov;100(5):494-7.</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Baker KD, Skuse DH. Adolescents and young adults with 22q11 deletion syndrome: psychopathology in an at-risk group. Br J Psychiatry. 2005;186:115–20.</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Hac?hamdio?lu B, Hac?hamdio?lu D, Delil K. 22q11 deletion syndrome: current perspective. Appl Clin Genet. 2015 May 18;8:123-32.</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Sullivan KE, Jawad AF, Randall P, et al. Lack of correlation between impaired T cell production, immunodeficiency, and other phenotypic features in chromosome 22q11.2 deletion syndromes. Clin Immunol Immunopathol. 1998;86(2):141–146.</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Carotti A, Digilio MC, Piacentini G, Saffirio C, Di Donato RM, Marino B. Cardiac defects and results of cardiac surgery in 22q11.2 deletion syndrome. Dev Disabil Res Rev. 2008;14(1):35–42.</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Leopold C, De Barros A, Cellier C, Drouin-Garraud V, Dehesdin D, Marie JP. Laryngeal abnormalities are frequent in the 22q11 deletion syndrome. Int J Pediatr Otorhinolaryngol. 2012;76(1):36–40.</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Kirschner RE, Baylis AL. Surgical considerations in 22Q11.2 deletion syndrome. Clin Plast Surg. 2014;41(2):271–282.</w:t>
      </w:r>
    </w:p>
    <w:p w:rsidR="00FA4889" w:rsidRPr="00FA4889" w:rsidRDefault="00FA4889" w:rsidP="00FA4889">
      <w:pPr>
        <w:numPr>
          <w:ilvl w:val="0"/>
          <w:numId w:val="32"/>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Кузьменко Н.Б., Варламова Т.В., Мерсиянова И.В., Райкина Е.В., Бобрнина В.О., Щербина А.Ю. Молекулярно-генетическая диагностика первичных иммунодефицитных состояний. Вопросы гематологии\онкологии и иммунопатологии в педиатрии. 2016; 15(1):10-16</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Приложение А1. Состав рабочей группы</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Румянцев Александр Григорьевич - </w:t>
      </w:r>
      <w:r w:rsidRPr="00FA4889">
        <w:rPr>
          <w:rFonts w:ascii="Helvetica" w:eastAsia="Times New Roman" w:hAnsi="Helvetica" w:cs="Helvetica"/>
          <w:color w:val="333333"/>
          <w:sz w:val="24"/>
          <w:szCs w:val="24"/>
          <w:lang w:eastAsia="ru-RU"/>
        </w:rPr>
        <w:t>доктор медицинских наук, профессор, академик РАМН, президент Национального общества экспертов в области первичных иммунодефицитов, член Нациоанального общества детских гематологов и онкологов, член Европейского общества гематологов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Щербина Анна Юрьевна</w:t>
      </w:r>
      <w:r w:rsidRPr="00FA4889">
        <w:rPr>
          <w:rFonts w:ascii="Helvetica" w:eastAsia="Times New Roman" w:hAnsi="Helvetica" w:cs="Helvetica"/>
          <w:color w:val="333333"/>
          <w:sz w:val="24"/>
          <w:szCs w:val="24"/>
          <w:lang w:eastAsia="ru-RU"/>
        </w:rPr>
        <w:t> — доктор медицинских наук, исполнительный директор Национального общества экспертов в области первичных иммунодефицитов, член Национального общества детских гематологов и онкологов, член Европейского общества иммунодефицитов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Кузьменко Наталия Борисовна</w:t>
      </w:r>
      <w:r w:rsidRPr="00FA4889">
        <w:rPr>
          <w:rFonts w:ascii="Helvetica" w:eastAsia="Times New Roman" w:hAnsi="Helvetica" w:cs="Helvetica"/>
          <w:color w:val="333333"/>
          <w:sz w:val="24"/>
          <w:szCs w:val="24"/>
          <w:lang w:eastAsia="ru-RU"/>
        </w:rPr>
        <w:t> — кандидат медицинских наук, член Национального общества экспертов в области первичных иммунодефицитов, член Национального общества детских гематологов и онкологов, член Европейского общества иммунодефицитов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Швец Олеся Васильевна</w:t>
      </w:r>
      <w:r w:rsidRPr="00FA4889">
        <w:rPr>
          <w:rFonts w:ascii="Helvetica" w:eastAsia="Times New Roman" w:hAnsi="Helvetica" w:cs="Helvetica"/>
          <w:color w:val="333333"/>
          <w:sz w:val="24"/>
          <w:szCs w:val="24"/>
          <w:lang w:eastAsia="ru-RU"/>
        </w:rPr>
        <w:t> - член Национального общества экспертов в области первичных иммунодефицитов, член Национального общества детских гематологов и онкологов, член Европейского общества иммунодефицитов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Балашов Дмитрий Николаевич</w:t>
      </w:r>
      <w:r w:rsidRPr="00FA4889">
        <w:rPr>
          <w:rFonts w:ascii="Helvetica" w:eastAsia="Times New Roman" w:hAnsi="Helvetica" w:cs="Helvetica"/>
          <w:color w:val="333333"/>
          <w:sz w:val="24"/>
          <w:szCs w:val="24"/>
          <w:lang w:eastAsia="ru-RU"/>
        </w:rPr>
        <w:t> — доктор медицинских наук, член Национального общества экспертов в области первичных иммунодефицитов, член Национального общества детских гематологов и онкологов, член Европейского общества иммунодефицитов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Конфликт интересов: Шербина А.Ю. </w:t>
      </w:r>
      <w:r w:rsidRPr="00FA4889">
        <w:rPr>
          <w:rFonts w:ascii="Helvetica" w:eastAsia="Times New Roman" w:hAnsi="Helvetica" w:cs="Helvetica"/>
          <w:color w:val="333333"/>
          <w:sz w:val="24"/>
          <w:szCs w:val="24"/>
          <w:lang w:eastAsia="ru-RU"/>
        </w:rPr>
        <w:t>в течение последних 5 лет осуществляла лекторскую деятельность при поддержке компаний CSL Behring, Kedrion, Biotest, РФарм, являющиеся изготовителями\дистрибьюторами препаратов внутривенных иммуноглобулинов.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Кузьменко Н.Б в течение последних 5 лет осуществляла лекторскую деятельность при поддержке компаний CSL Behring, являющейся изготовителкм препаратов внутривенных иммуноглобулинов.</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Приложение А2. Методология разработки клинических рекомендаций</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Целевая аудитория данных клинических рекомендаций:</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Иммунологи 14.03.09;</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Педиатры 14.01.08;</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Врачи общей практики 31.08.54;</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Гематологи 14.01.21;</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Кардиологи 14.01.05;</w:t>
      </w:r>
    </w:p>
    <w:p w:rsidR="00FA4889" w:rsidRPr="00FA4889" w:rsidRDefault="00FA4889" w:rsidP="00FA4889">
      <w:pPr>
        <w:numPr>
          <w:ilvl w:val="0"/>
          <w:numId w:val="33"/>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Неврологи 14.01.11.</w:t>
      </w:r>
    </w:p>
    <w:p w:rsidR="00FA4889" w:rsidRPr="00FA4889" w:rsidRDefault="00FA4889" w:rsidP="00FA4889">
      <w:pPr>
        <w:shd w:val="clear" w:color="auto" w:fill="FFFFFF"/>
        <w:spacing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Таблица П1</w:t>
      </w:r>
      <w:r w:rsidRPr="00FA4889">
        <w:rPr>
          <w:rFonts w:ascii="Helvetica" w:eastAsia="Times New Roman" w:hAnsi="Helvetica" w:cs="Helvetica"/>
          <w:color w:val="333333"/>
          <w:sz w:val="24"/>
          <w:szCs w:val="24"/>
          <w:lang w:eastAsia="ru-RU"/>
        </w:rPr>
        <w:t> – Уровни достоверности доказательств</w:t>
      </w:r>
    </w:p>
    <w:tbl>
      <w:tblPr>
        <w:tblW w:w="0" w:type="auto"/>
        <w:tblCellMar>
          <w:top w:w="15" w:type="dxa"/>
          <w:left w:w="15" w:type="dxa"/>
          <w:bottom w:w="15" w:type="dxa"/>
          <w:right w:w="15" w:type="dxa"/>
        </w:tblCellMar>
        <w:tblLook w:val="04A0" w:firstRow="1" w:lastRow="0" w:firstColumn="1" w:lastColumn="0" w:noHBand="0" w:noVBand="1"/>
      </w:tblPr>
      <w:tblGrid>
        <w:gridCol w:w="2225"/>
        <w:gridCol w:w="7430"/>
      </w:tblGrid>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Уровень достоверности</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Источник доказательств</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I (1)</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Проспективные рандомизированные контролируемые исследования</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Крупные мета-анализы</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Как минимум одно хорошо организованное рандомизированное контролируемое исследование</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Репрезентативная выборка пациентов</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II (2)</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Проспективные с рандомизацией или без исследования с ограниченным количеством данных</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Несколько исследований с небольшим количеством пациентов</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Хорошо организованное проспективное исследование когорты</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Мета-анализы ограничены, но проведены на хорошем уровне</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Результаты не презентативны в отношении целевой популяции</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Хорошо организованные исследования «случай-контроль»</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III (3)</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Нерандомизированные контролируемые исследования</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Исследования с недостаточным контролем</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Ретроспективные или наблюдательные исследования</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Серия клинических наблюдений</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Противоречивые данные, не позволяющие сформировать окончательную рекомендацию</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IV (4)</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Мнение эксперта/данные из отчета экспертной комиссии, экспериментально подтвержденные и теоретически обоснованные</w:t>
            </w:r>
          </w:p>
        </w:tc>
      </w:tr>
    </w:tbl>
    <w:p w:rsidR="00FA4889" w:rsidRPr="00FA4889" w:rsidRDefault="00FA4889" w:rsidP="00FA4889">
      <w:pPr>
        <w:shd w:val="clear" w:color="auto" w:fill="FFFFFF"/>
        <w:spacing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Таблица П2</w:t>
      </w:r>
      <w:r w:rsidRPr="00FA4889">
        <w:rPr>
          <w:rFonts w:ascii="Helvetica" w:eastAsia="Times New Roman" w:hAnsi="Helvetica" w:cs="Helvetica"/>
          <w:color w:val="333333"/>
          <w:sz w:val="24"/>
          <w:szCs w:val="24"/>
          <w:lang w:eastAsia="ru-RU"/>
        </w:rPr>
        <w:t> – Уровни убедительности рекомендаций</w:t>
      </w:r>
    </w:p>
    <w:tbl>
      <w:tblPr>
        <w:tblW w:w="0" w:type="auto"/>
        <w:tblCellMar>
          <w:top w:w="15" w:type="dxa"/>
          <w:left w:w="15" w:type="dxa"/>
          <w:bottom w:w="15" w:type="dxa"/>
          <w:right w:w="15" w:type="dxa"/>
        </w:tblCellMar>
        <w:tblLook w:val="04A0" w:firstRow="1" w:lastRow="0" w:firstColumn="1" w:lastColumn="0" w:noHBand="0" w:noVBand="1"/>
      </w:tblPr>
      <w:tblGrid>
        <w:gridCol w:w="2087"/>
        <w:gridCol w:w="4000"/>
        <w:gridCol w:w="3568"/>
      </w:tblGrid>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Уровень убедительности</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Описание</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Расшифровка</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A</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Рекомендация основана на высоком уровне доказательности (как минимум 1 убедительная публикация I уровня доказательности, показывающая значительное превосходство пользы над риском)</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Метод/терапия первой линии; либо в сочетании со стандартной методикой/терапией</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B</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 xml:space="preserve">Рекомендация основана на среднем </w:t>
            </w:r>
            <w:r w:rsidRPr="00FA4889">
              <w:rPr>
                <w:rFonts w:ascii="Times New Roman" w:eastAsia="Times New Roman" w:hAnsi="Times New Roman" w:cs="Times New Roman"/>
                <w:sz w:val="24"/>
                <w:szCs w:val="24"/>
                <w:lang w:eastAsia="ru-RU"/>
              </w:rPr>
              <w:lastRenderedPageBreak/>
              <w:t>уровне доказательности (как минимум 1 убедительная публикация II уровня доказательности, показывающая значительное превосходство пользы над риском)</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lastRenderedPageBreak/>
              <w:t xml:space="preserve">Метод/терапия второй линии; </w:t>
            </w:r>
            <w:r w:rsidRPr="00FA4889">
              <w:rPr>
                <w:rFonts w:ascii="Times New Roman" w:eastAsia="Times New Roman" w:hAnsi="Times New Roman" w:cs="Times New Roman"/>
                <w:sz w:val="24"/>
                <w:szCs w:val="24"/>
                <w:lang w:eastAsia="ru-RU"/>
              </w:rPr>
              <w:lastRenderedPageBreak/>
              <w:t>либо при отказе, противопоказании, или неэффективности стандартной методики/терапии. Рекомендуется мониторирование побочных явлений</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lastRenderedPageBreak/>
              <w:t>C</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Рекомендация основана на слабом уровне доказательности (но как минимум 1 убедительная публикация III уровня доказательности, показывающая значительное превосходство пользы над риском) </w:t>
            </w:r>
            <w:r w:rsidRPr="00FA4889">
              <w:rPr>
                <w:rFonts w:ascii="Times New Roman" w:eastAsia="Times New Roman" w:hAnsi="Times New Roman" w:cs="Times New Roman"/>
                <w:i/>
                <w:iCs/>
                <w:sz w:val="24"/>
                <w:szCs w:val="24"/>
                <w:lang w:eastAsia="ru-RU"/>
              </w:rPr>
              <w:t>или</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нет убедительных данных ни о пользе, ни о риске)</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Нет возражений против данного метода/терапии или нет возражений против продолжения данного метода/терапии</w:t>
            </w:r>
          </w:p>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FA4889" w:rsidRPr="00FA4889" w:rsidTr="00FA4889">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b/>
                <w:bCs/>
                <w:sz w:val="24"/>
                <w:szCs w:val="24"/>
                <w:lang w:eastAsia="ru-RU"/>
              </w:rPr>
              <w:t>D</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Отсутствие убедительных публикаций I, II или III уровня доказательности, показывающих значительное превосходство пользы над риском, либо убедительные публикации I, II или III уровня доказательности, показывающие значительное превосходство риска над пользой</w:t>
            </w:r>
          </w:p>
        </w:tc>
        <w:tc>
          <w:tcPr>
            <w:tcW w:w="0" w:type="auto"/>
            <w:shd w:val="clear" w:color="auto" w:fill="auto"/>
            <w:tcMar>
              <w:top w:w="135" w:type="dxa"/>
              <w:left w:w="150" w:type="dxa"/>
              <w:bottom w:w="135" w:type="dxa"/>
              <w:right w:w="150" w:type="dxa"/>
            </w:tcMar>
            <w:vAlign w:val="center"/>
            <w:hideMark/>
          </w:tcPr>
          <w:p w:rsidR="00FA4889" w:rsidRPr="00FA4889" w:rsidRDefault="00FA4889" w:rsidP="00FA4889">
            <w:pPr>
              <w:spacing w:after="0" w:line="240" w:lineRule="auto"/>
              <w:rPr>
                <w:rFonts w:ascii="Times New Roman" w:eastAsia="Times New Roman" w:hAnsi="Times New Roman" w:cs="Times New Roman"/>
                <w:sz w:val="24"/>
                <w:szCs w:val="24"/>
                <w:lang w:eastAsia="ru-RU"/>
              </w:rPr>
            </w:pPr>
            <w:r w:rsidRPr="00FA4889">
              <w:rPr>
                <w:rFonts w:ascii="Times New Roman" w:eastAsia="Times New Roman" w:hAnsi="Times New Roman" w:cs="Times New Roman"/>
                <w:sz w:val="24"/>
                <w:szCs w:val="24"/>
                <w:lang w:eastAsia="ru-RU"/>
              </w:rPr>
              <w:t>Не рекомендовано</w:t>
            </w:r>
          </w:p>
        </w:tc>
      </w:tr>
    </w:tbl>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b/>
          <w:bCs/>
          <w:color w:val="333333"/>
          <w:sz w:val="24"/>
          <w:szCs w:val="24"/>
          <w:lang w:eastAsia="ru-RU"/>
        </w:rPr>
        <w:t>Порядок обновления клинических рекомендаций</w:t>
      </w:r>
      <w:r w:rsidRPr="00FA4889">
        <w:rPr>
          <w:rFonts w:ascii="Helvetica" w:eastAsia="Times New Roman" w:hAnsi="Helvetica" w:cs="Helvetica"/>
          <w:color w:val="333333"/>
          <w:sz w:val="24"/>
          <w:szCs w:val="24"/>
          <w:lang w:eastAsia="ru-RU"/>
        </w:rPr>
        <w:t> – пересмотр _1_ раз в _3 года</w:t>
      </w:r>
    </w:p>
    <w:p w:rsidR="00FA4889" w:rsidRPr="00FA4889" w:rsidRDefault="00FA4889" w:rsidP="00FA4889">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FA4889">
        <w:rPr>
          <w:rFonts w:ascii="inherit" w:eastAsia="Times New Roman" w:hAnsi="inherit" w:cs="Helvetica"/>
          <w:b/>
          <w:bCs/>
          <w:color w:val="444444"/>
          <w:sz w:val="36"/>
          <w:szCs w:val="36"/>
          <w:lang w:eastAsia="ru-RU"/>
        </w:rPr>
        <w:t>Приложение В. Информация для пациентов</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Синдром делеции 22-й хромосомы — это совокупность морфологических, иммунологических и неврологических изменений, которые являются следствием врожденного генетического дефекта: делеции длинного плеча 1 копии 22-й хромосомы — del 22q11.2.</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 классическом понимании это сочетание патологии лицевого скелета (расщелины твердого неба), врожденного порока сердца, недоразвития (или отсутствие) тимуса и снижения уровня кальция в крови в результате недоразвития паращитовидной железы. Заболевание может передаваться по наследству.</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Спектр клинических проявлений при синдроме делеции 22-й хромосомы достаточно широк. Для этого синдрома характерно преобладание тех или иных признаков в зависимости от возраста пациента. Так, у детей после рождения на первом месте по тяжести преобладают врожденный порок сердца и снижение уровня кальция в крови. С возрастом появляются проблемы другого характера: задержка умственного развития, инфекционные и аутоиммунные осложнения.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Основные симптомы и признаки син</w:t>
      </w:r>
      <w:r w:rsidRPr="00FA4889">
        <w:rPr>
          <w:rFonts w:ascii="Helvetica" w:eastAsia="Times New Roman" w:hAnsi="Helvetica" w:cs="Helvetica"/>
          <w:color w:val="333333"/>
          <w:sz w:val="24"/>
          <w:szCs w:val="24"/>
          <w:lang w:eastAsia="ru-RU"/>
        </w:rPr>
        <w:softHyphen/>
        <w:t>дрома делеции 22-й хромосомы:</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Врожденный порок сердца представлен у большинства пациентов (прерывание дуга аорты, общий артериальный ствол и тетрада Фалло и другие).</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Судорожный синдромом (при выраженном дефиците кальция/недоразвитии паращитовидной железы).</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Поражение носоглотки у большинства пациентов (расщепление нёба, губы, раздвоение уздечки нёба, гнусавый оттенок голоса, может встречаться снижение обоняния, слуха).</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Характерные черты лица (удлиненное лицо, недоразвитие или неправильное расположение челюстных костей, широкая переносица, мелкие зубы, асимметрия лица при плаче, опущенные вниз уголки рта, широко посаженные глаза, низко посаженные и деформированные ушные раковины, непропорционально большой кончик носа).</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Нарушения иммунитета у большинства пациентов, в результате которого могут развиваться грибковые заболевания, пневмоцистная инфекция, другие бактериальные и вирусные инфекции.</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 результате неправильной работы иммунной системы могут развиваться аутоиммунные заболевания, такие как ювенильный ревматоидный артрит (ЮРА), воспалительные заболевания кишечника (ВЗК), аутоиммунный увеит, бронхиальная астма.</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Задержка физического развития нередко наблюдается у пациентов с синдромом делеции 22q11.2-й хромосомы.</w:t>
      </w:r>
    </w:p>
    <w:p w:rsidR="00FA4889" w:rsidRPr="00FA4889" w:rsidRDefault="00FA4889" w:rsidP="00FA4889">
      <w:pPr>
        <w:numPr>
          <w:ilvl w:val="0"/>
          <w:numId w:val="34"/>
        </w:num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Задержка речевого и психомоторного развития наблюдается у 70—90% и проявляется с возрастом. Пациенты наблюдаются с диагнозами «психоз» или «шизофрения», «депрессия», «биполярный синдром».</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Диагноз подтверждается определением генетического дефекта: микроделеции в хромосоме 22q.</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 настоящее время не существует методов терапии данного заболевания, которые могут привести к выздоровлению. Терапия пациентов с синдромом делеции 22-й хромосомы направлено, главным образом, на лечение осложнений, возникающих в тот или иной период жизни пациента. Проводится хирургическое лечение пороков сердца и лицевого скелета. В зависимости от степени выраженности иммунологического дефекта пациенты могут нуждаться в регулярной (ежемесячной) терапии внутривенным иммуноглобулином, профилактической противомикробной терапии.</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При возникновении аутоиммунных осложнений проводится их лечение.</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Пациенты с данным синдромом наблюдаются различными специалистами, проходят диагностические процедуры в зависимости от выраженности тех или иных клинических проявлений заболевания.</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Такие пациенты не должны вакцинироваться живыми вакцинами (корь, паротит, краснуха, ветряная оспа, живая полиомиелитная вакцина).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Наиболее значимые проблемы — психиатрического плана.</w:t>
      </w:r>
    </w:p>
    <w:p w:rsidR="00FA4889" w:rsidRPr="00FA4889" w:rsidRDefault="00FA4889" w:rsidP="00FA4889">
      <w:pPr>
        <w:shd w:val="clear" w:color="auto" w:fill="FFFFFF"/>
        <w:spacing w:after="150"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t>Выбор профессии определяется умственным развитием и психическими отклонениями.</w:t>
      </w:r>
    </w:p>
    <w:p w:rsidR="00FA4889" w:rsidRPr="00FA4889" w:rsidRDefault="00FA4889" w:rsidP="00FA4889">
      <w:pPr>
        <w:shd w:val="clear" w:color="auto" w:fill="FFFFFF"/>
        <w:spacing w:line="240" w:lineRule="auto"/>
        <w:rPr>
          <w:rFonts w:ascii="Helvetica" w:eastAsia="Times New Roman" w:hAnsi="Helvetica" w:cs="Helvetica"/>
          <w:color w:val="333333"/>
          <w:sz w:val="24"/>
          <w:szCs w:val="24"/>
          <w:lang w:eastAsia="ru-RU"/>
        </w:rPr>
      </w:pPr>
      <w:r w:rsidRPr="00FA4889">
        <w:rPr>
          <w:rFonts w:ascii="Helvetica" w:eastAsia="Times New Roman" w:hAnsi="Helvetica" w:cs="Helvetica"/>
          <w:color w:val="333333"/>
          <w:sz w:val="24"/>
          <w:szCs w:val="24"/>
          <w:lang w:eastAsia="ru-RU"/>
        </w:rPr>
        <w:lastRenderedPageBreak/>
        <w:t>Возможно проведение диагностики в период внутриутробного развития плода.</w:t>
      </w:r>
    </w:p>
    <w:p w:rsidR="00FA4889" w:rsidRPr="00FA4889" w:rsidRDefault="00FA4889" w:rsidP="00FA4889">
      <w:pPr>
        <w:shd w:val="clear" w:color="auto" w:fill="FFFFFF"/>
        <w:spacing w:after="180" w:line="240" w:lineRule="auto"/>
        <w:rPr>
          <w:rFonts w:ascii="Helvetica" w:eastAsia="Times New Roman" w:hAnsi="Helvetica" w:cs="Helvetica"/>
          <w:i/>
          <w:iCs/>
          <w:color w:val="333333"/>
          <w:sz w:val="24"/>
          <w:szCs w:val="24"/>
          <w:lang w:eastAsia="ru-RU"/>
        </w:rPr>
      </w:pPr>
      <w:r w:rsidRPr="00FA4889">
        <w:rPr>
          <w:rFonts w:ascii="Helvetica" w:eastAsia="Times New Roman" w:hAnsi="Helvetica" w:cs="Helvetica"/>
          <w:i/>
          <w:iCs/>
          <w:color w:val="333333"/>
          <w:sz w:val="24"/>
          <w:szCs w:val="24"/>
          <w:lang w:eastAsia="ru-RU"/>
        </w:rPr>
        <w:t>10 октября 2016 г.</w:t>
      </w:r>
    </w:p>
    <w:p w:rsidR="009F5FC9" w:rsidRDefault="009F5FC9">
      <w:bookmarkStart w:id="0" w:name="_GoBack"/>
      <w:bookmarkEnd w:id="0"/>
    </w:p>
    <w:sectPr w:rsidR="009F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58F"/>
    <w:multiLevelType w:val="multilevel"/>
    <w:tmpl w:val="F9D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C6A92"/>
    <w:multiLevelType w:val="multilevel"/>
    <w:tmpl w:val="5B2C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2287B"/>
    <w:multiLevelType w:val="multilevel"/>
    <w:tmpl w:val="72E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1412E"/>
    <w:multiLevelType w:val="multilevel"/>
    <w:tmpl w:val="955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E39AE"/>
    <w:multiLevelType w:val="multilevel"/>
    <w:tmpl w:val="051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A50F8"/>
    <w:multiLevelType w:val="multilevel"/>
    <w:tmpl w:val="EA1A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8093D"/>
    <w:multiLevelType w:val="multilevel"/>
    <w:tmpl w:val="34A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F0917"/>
    <w:multiLevelType w:val="multilevel"/>
    <w:tmpl w:val="B45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E6DF5"/>
    <w:multiLevelType w:val="multilevel"/>
    <w:tmpl w:val="62BA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C032C"/>
    <w:multiLevelType w:val="multilevel"/>
    <w:tmpl w:val="9A0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DC444D"/>
    <w:multiLevelType w:val="multilevel"/>
    <w:tmpl w:val="0800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A2DAF"/>
    <w:multiLevelType w:val="multilevel"/>
    <w:tmpl w:val="9F4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315DE"/>
    <w:multiLevelType w:val="multilevel"/>
    <w:tmpl w:val="5A00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66192"/>
    <w:multiLevelType w:val="multilevel"/>
    <w:tmpl w:val="BE4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57A1E"/>
    <w:multiLevelType w:val="multilevel"/>
    <w:tmpl w:val="2C8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443E5"/>
    <w:multiLevelType w:val="multilevel"/>
    <w:tmpl w:val="F24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F1A80"/>
    <w:multiLevelType w:val="multilevel"/>
    <w:tmpl w:val="D100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D6A77"/>
    <w:multiLevelType w:val="multilevel"/>
    <w:tmpl w:val="38C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2D472F"/>
    <w:multiLevelType w:val="multilevel"/>
    <w:tmpl w:val="43D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0044A"/>
    <w:multiLevelType w:val="multilevel"/>
    <w:tmpl w:val="696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A7445"/>
    <w:multiLevelType w:val="multilevel"/>
    <w:tmpl w:val="7D6A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E364A"/>
    <w:multiLevelType w:val="multilevel"/>
    <w:tmpl w:val="E0A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717A2"/>
    <w:multiLevelType w:val="multilevel"/>
    <w:tmpl w:val="8C4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A326B8"/>
    <w:multiLevelType w:val="multilevel"/>
    <w:tmpl w:val="46A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2521A"/>
    <w:multiLevelType w:val="multilevel"/>
    <w:tmpl w:val="E05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4307A6"/>
    <w:multiLevelType w:val="multilevel"/>
    <w:tmpl w:val="3A58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2518E7"/>
    <w:multiLevelType w:val="multilevel"/>
    <w:tmpl w:val="F68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43DC8"/>
    <w:multiLevelType w:val="multilevel"/>
    <w:tmpl w:val="A88E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D36FBB"/>
    <w:multiLevelType w:val="multilevel"/>
    <w:tmpl w:val="5E5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7F2399"/>
    <w:multiLevelType w:val="multilevel"/>
    <w:tmpl w:val="A4F4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0F3729"/>
    <w:multiLevelType w:val="multilevel"/>
    <w:tmpl w:val="CE28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1362B3"/>
    <w:multiLevelType w:val="multilevel"/>
    <w:tmpl w:val="700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4A59C3"/>
    <w:multiLevelType w:val="multilevel"/>
    <w:tmpl w:val="88E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550CB"/>
    <w:multiLevelType w:val="multilevel"/>
    <w:tmpl w:val="9F5E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24"/>
  </w:num>
  <w:num w:numId="4">
    <w:abstractNumId w:val="16"/>
  </w:num>
  <w:num w:numId="5">
    <w:abstractNumId w:val="32"/>
  </w:num>
  <w:num w:numId="6">
    <w:abstractNumId w:val="27"/>
  </w:num>
  <w:num w:numId="7">
    <w:abstractNumId w:val="25"/>
  </w:num>
  <w:num w:numId="8">
    <w:abstractNumId w:val="1"/>
  </w:num>
  <w:num w:numId="9">
    <w:abstractNumId w:val="28"/>
  </w:num>
  <w:num w:numId="10">
    <w:abstractNumId w:val="7"/>
  </w:num>
  <w:num w:numId="11">
    <w:abstractNumId w:val="30"/>
  </w:num>
  <w:num w:numId="12">
    <w:abstractNumId w:val="17"/>
  </w:num>
  <w:num w:numId="13">
    <w:abstractNumId w:val="3"/>
  </w:num>
  <w:num w:numId="14">
    <w:abstractNumId w:val="5"/>
  </w:num>
  <w:num w:numId="15">
    <w:abstractNumId w:val="15"/>
  </w:num>
  <w:num w:numId="16">
    <w:abstractNumId w:val="26"/>
  </w:num>
  <w:num w:numId="17">
    <w:abstractNumId w:val="10"/>
  </w:num>
  <w:num w:numId="18">
    <w:abstractNumId w:val="11"/>
  </w:num>
  <w:num w:numId="19">
    <w:abstractNumId w:val="21"/>
  </w:num>
  <w:num w:numId="20">
    <w:abstractNumId w:val="4"/>
  </w:num>
  <w:num w:numId="21">
    <w:abstractNumId w:val="9"/>
  </w:num>
  <w:num w:numId="22">
    <w:abstractNumId w:val="14"/>
  </w:num>
  <w:num w:numId="23">
    <w:abstractNumId w:val="2"/>
  </w:num>
  <w:num w:numId="24">
    <w:abstractNumId w:val="19"/>
  </w:num>
  <w:num w:numId="25">
    <w:abstractNumId w:val="6"/>
  </w:num>
  <w:num w:numId="26">
    <w:abstractNumId w:val="23"/>
  </w:num>
  <w:num w:numId="27">
    <w:abstractNumId w:val="0"/>
  </w:num>
  <w:num w:numId="28">
    <w:abstractNumId w:val="13"/>
  </w:num>
  <w:num w:numId="29">
    <w:abstractNumId w:val="31"/>
  </w:num>
  <w:num w:numId="30">
    <w:abstractNumId w:val="29"/>
  </w:num>
  <w:num w:numId="31">
    <w:abstractNumId w:val="8"/>
  </w:num>
  <w:num w:numId="32">
    <w:abstractNumId w:val="20"/>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87"/>
    <w:rsid w:val="000F6C87"/>
    <w:rsid w:val="009F5FC9"/>
    <w:rsid w:val="00FA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79331">
      <w:bodyDiv w:val="1"/>
      <w:marLeft w:val="0"/>
      <w:marRight w:val="0"/>
      <w:marTop w:val="0"/>
      <w:marBottom w:val="0"/>
      <w:divBdr>
        <w:top w:val="none" w:sz="0" w:space="0" w:color="auto"/>
        <w:left w:val="none" w:sz="0" w:space="0" w:color="auto"/>
        <w:bottom w:val="none" w:sz="0" w:space="0" w:color="auto"/>
        <w:right w:val="none" w:sz="0" w:space="0" w:color="auto"/>
      </w:divBdr>
      <w:divsChild>
        <w:div w:id="1906717379">
          <w:marLeft w:val="0"/>
          <w:marRight w:val="0"/>
          <w:marTop w:val="0"/>
          <w:marBottom w:val="0"/>
          <w:divBdr>
            <w:top w:val="none" w:sz="0" w:space="0" w:color="auto"/>
            <w:left w:val="none" w:sz="0" w:space="0" w:color="auto"/>
            <w:bottom w:val="none" w:sz="0" w:space="0" w:color="auto"/>
            <w:right w:val="none" w:sz="0" w:space="0" w:color="auto"/>
          </w:divBdr>
          <w:divsChild>
            <w:div w:id="1176338344">
              <w:marLeft w:val="0"/>
              <w:marRight w:val="0"/>
              <w:marTop w:val="0"/>
              <w:marBottom w:val="300"/>
              <w:divBdr>
                <w:top w:val="none" w:sz="0" w:space="0" w:color="auto"/>
                <w:left w:val="none" w:sz="0" w:space="0" w:color="auto"/>
                <w:bottom w:val="none" w:sz="0" w:space="0" w:color="auto"/>
                <w:right w:val="none" w:sz="0" w:space="0" w:color="auto"/>
              </w:divBdr>
              <w:divsChild>
                <w:div w:id="1093939224">
                  <w:marLeft w:val="0"/>
                  <w:marRight w:val="0"/>
                  <w:marTop w:val="0"/>
                  <w:marBottom w:val="0"/>
                  <w:divBdr>
                    <w:top w:val="single" w:sz="6" w:space="10" w:color="AAAAAA"/>
                    <w:left w:val="single" w:sz="6" w:space="10" w:color="AAAAAA"/>
                    <w:bottom w:val="single" w:sz="6" w:space="10" w:color="AAAAAA"/>
                    <w:right w:val="single" w:sz="6" w:space="10" w:color="AAAAAA"/>
                  </w:divBdr>
                  <w:divsChild>
                    <w:div w:id="1698387436">
                      <w:marLeft w:val="0"/>
                      <w:marRight w:val="0"/>
                      <w:marTop w:val="0"/>
                      <w:marBottom w:val="0"/>
                      <w:divBdr>
                        <w:top w:val="none" w:sz="0" w:space="0" w:color="auto"/>
                        <w:left w:val="none" w:sz="0" w:space="0" w:color="auto"/>
                        <w:bottom w:val="none" w:sz="0" w:space="0" w:color="auto"/>
                        <w:right w:val="none" w:sz="0" w:space="0" w:color="auto"/>
                      </w:divBdr>
                      <w:divsChild>
                        <w:div w:id="1809123580">
                          <w:marLeft w:val="0"/>
                          <w:marRight w:val="0"/>
                          <w:marTop w:val="0"/>
                          <w:marBottom w:val="0"/>
                          <w:divBdr>
                            <w:top w:val="none" w:sz="0" w:space="0" w:color="auto"/>
                            <w:left w:val="none" w:sz="0" w:space="0" w:color="auto"/>
                            <w:bottom w:val="none" w:sz="0" w:space="0" w:color="auto"/>
                            <w:right w:val="none" w:sz="0" w:space="0" w:color="auto"/>
                          </w:divBdr>
                        </w:div>
                        <w:div w:id="1274288777">
                          <w:marLeft w:val="0"/>
                          <w:marRight w:val="0"/>
                          <w:marTop w:val="0"/>
                          <w:marBottom w:val="0"/>
                          <w:divBdr>
                            <w:top w:val="none" w:sz="0" w:space="0" w:color="auto"/>
                            <w:left w:val="none" w:sz="0" w:space="0" w:color="auto"/>
                            <w:bottom w:val="none" w:sz="0" w:space="0" w:color="auto"/>
                            <w:right w:val="none" w:sz="0" w:space="0" w:color="auto"/>
                          </w:divBdr>
                          <w:divsChild>
                            <w:div w:id="659234953">
                              <w:marLeft w:val="0"/>
                              <w:marRight w:val="0"/>
                              <w:marTop w:val="0"/>
                              <w:marBottom w:val="0"/>
                              <w:divBdr>
                                <w:top w:val="none" w:sz="0" w:space="0" w:color="auto"/>
                                <w:left w:val="none" w:sz="0" w:space="0" w:color="auto"/>
                                <w:bottom w:val="none" w:sz="0" w:space="0" w:color="auto"/>
                                <w:right w:val="none" w:sz="0" w:space="0" w:color="auto"/>
                              </w:divBdr>
                            </w:div>
                            <w:div w:id="911160622">
                              <w:marLeft w:val="0"/>
                              <w:marRight w:val="0"/>
                              <w:marTop w:val="0"/>
                              <w:marBottom w:val="0"/>
                              <w:divBdr>
                                <w:top w:val="none" w:sz="0" w:space="0" w:color="auto"/>
                                <w:left w:val="none" w:sz="0" w:space="0" w:color="auto"/>
                                <w:bottom w:val="none" w:sz="0" w:space="0" w:color="auto"/>
                                <w:right w:val="none" w:sz="0" w:space="0" w:color="auto"/>
                              </w:divBdr>
                            </w:div>
                          </w:divsChild>
                        </w:div>
                        <w:div w:id="820854842">
                          <w:marLeft w:val="0"/>
                          <w:marRight w:val="0"/>
                          <w:marTop w:val="0"/>
                          <w:marBottom w:val="0"/>
                          <w:divBdr>
                            <w:top w:val="none" w:sz="0" w:space="0" w:color="auto"/>
                            <w:left w:val="none" w:sz="0" w:space="0" w:color="auto"/>
                            <w:bottom w:val="none" w:sz="0" w:space="0" w:color="auto"/>
                            <w:right w:val="none" w:sz="0" w:space="0" w:color="auto"/>
                          </w:divBdr>
                          <w:divsChild>
                            <w:div w:id="2003656261">
                              <w:marLeft w:val="0"/>
                              <w:marRight w:val="0"/>
                              <w:marTop w:val="0"/>
                              <w:marBottom w:val="0"/>
                              <w:divBdr>
                                <w:top w:val="none" w:sz="0" w:space="0" w:color="auto"/>
                                <w:left w:val="none" w:sz="0" w:space="0" w:color="auto"/>
                                <w:bottom w:val="none" w:sz="0" w:space="0" w:color="auto"/>
                                <w:right w:val="none" w:sz="0" w:space="0" w:color="auto"/>
                              </w:divBdr>
                            </w:div>
                            <w:div w:id="372538598">
                              <w:marLeft w:val="0"/>
                              <w:marRight w:val="0"/>
                              <w:marTop w:val="0"/>
                              <w:marBottom w:val="0"/>
                              <w:divBdr>
                                <w:top w:val="none" w:sz="0" w:space="0" w:color="auto"/>
                                <w:left w:val="none" w:sz="0" w:space="0" w:color="auto"/>
                                <w:bottom w:val="none" w:sz="0" w:space="0" w:color="auto"/>
                                <w:right w:val="none" w:sz="0" w:space="0" w:color="auto"/>
                              </w:divBdr>
                            </w:div>
                          </w:divsChild>
                        </w:div>
                        <w:div w:id="935867158">
                          <w:marLeft w:val="0"/>
                          <w:marRight w:val="0"/>
                          <w:marTop w:val="0"/>
                          <w:marBottom w:val="0"/>
                          <w:divBdr>
                            <w:top w:val="none" w:sz="0" w:space="0" w:color="auto"/>
                            <w:left w:val="none" w:sz="0" w:space="0" w:color="auto"/>
                            <w:bottom w:val="none" w:sz="0" w:space="0" w:color="auto"/>
                            <w:right w:val="none" w:sz="0" w:space="0" w:color="auto"/>
                          </w:divBdr>
                          <w:divsChild>
                            <w:div w:id="516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226">
                      <w:marLeft w:val="0"/>
                      <w:marRight w:val="0"/>
                      <w:marTop w:val="0"/>
                      <w:marBottom w:val="0"/>
                      <w:divBdr>
                        <w:top w:val="none" w:sz="0" w:space="0" w:color="auto"/>
                        <w:left w:val="none" w:sz="0" w:space="0" w:color="auto"/>
                        <w:bottom w:val="none" w:sz="0" w:space="0" w:color="auto"/>
                        <w:right w:val="none" w:sz="0" w:space="0" w:color="auto"/>
                      </w:divBdr>
                      <w:divsChild>
                        <w:div w:id="258415114">
                          <w:marLeft w:val="0"/>
                          <w:marRight w:val="0"/>
                          <w:marTop w:val="0"/>
                          <w:marBottom w:val="0"/>
                          <w:divBdr>
                            <w:top w:val="none" w:sz="0" w:space="0" w:color="auto"/>
                            <w:left w:val="none" w:sz="0" w:space="0" w:color="auto"/>
                            <w:bottom w:val="none" w:sz="0" w:space="0" w:color="auto"/>
                            <w:right w:val="none" w:sz="0" w:space="0" w:color="auto"/>
                          </w:divBdr>
                          <w:divsChild>
                            <w:div w:id="1708409283">
                              <w:marLeft w:val="0"/>
                              <w:marRight w:val="0"/>
                              <w:marTop w:val="0"/>
                              <w:marBottom w:val="0"/>
                              <w:divBdr>
                                <w:top w:val="none" w:sz="0" w:space="0" w:color="auto"/>
                                <w:left w:val="none" w:sz="0" w:space="0" w:color="auto"/>
                                <w:bottom w:val="none" w:sz="0" w:space="0" w:color="auto"/>
                                <w:right w:val="none" w:sz="0" w:space="0" w:color="auto"/>
                              </w:divBdr>
                            </w:div>
                            <w:div w:id="1928342705">
                              <w:marLeft w:val="0"/>
                              <w:marRight w:val="0"/>
                              <w:marTop w:val="0"/>
                              <w:marBottom w:val="0"/>
                              <w:divBdr>
                                <w:top w:val="none" w:sz="0" w:space="0" w:color="auto"/>
                                <w:left w:val="none" w:sz="0" w:space="0" w:color="auto"/>
                                <w:bottom w:val="none" w:sz="0" w:space="0" w:color="auto"/>
                                <w:right w:val="none" w:sz="0" w:space="0" w:color="auto"/>
                              </w:divBdr>
                            </w:div>
                          </w:divsChild>
                        </w:div>
                        <w:div w:id="1304891332">
                          <w:marLeft w:val="0"/>
                          <w:marRight w:val="0"/>
                          <w:marTop w:val="0"/>
                          <w:marBottom w:val="0"/>
                          <w:divBdr>
                            <w:top w:val="none" w:sz="0" w:space="0" w:color="auto"/>
                            <w:left w:val="none" w:sz="0" w:space="0" w:color="auto"/>
                            <w:bottom w:val="none" w:sz="0" w:space="0" w:color="auto"/>
                            <w:right w:val="none" w:sz="0" w:space="0" w:color="auto"/>
                          </w:divBdr>
                          <w:divsChild>
                            <w:div w:id="281496496">
                              <w:marLeft w:val="0"/>
                              <w:marRight w:val="0"/>
                              <w:marTop w:val="0"/>
                              <w:marBottom w:val="0"/>
                              <w:divBdr>
                                <w:top w:val="none" w:sz="0" w:space="0" w:color="auto"/>
                                <w:left w:val="none" w:sz="0" w:space="0" w:color="auto"/>
                                <w:bottom w:val="none" w:sz="0" w:space="0" w:color="auto"/>
                                <w:right w:val="none" w:sz="0" w:space="0" w:color="auto"/>
                              </w:divBdr>
                            </w:div>
                            <w:div w:id="10529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2423">
                  <w:marLeft w:val="0"/>
                  <w:marRight w:val="0"/>
                  <w:marTop w:val="0"/>
                  <w:marBottom w:val="0"/>
                  <w:divBdr>
                    <w:top w:val="none" w:sz="0" w:space="0" w:color="auto"/>
                    <w:left w:val="none" w:sz="0" w:space="0" w:color="auto"/>
                    <w:bottom w:val="none" w:sz="0" w:space="0" w:color="auto"/>
                    <w:right w:val="none" w:sz="0" w:space="0" w:color="auto"/>
                  </w:divBdr>
                  <w:divsChild>
                    <w:div w:id="6824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6387">
          <w:marLeft w:val="0"/>
          <w:marRight w:val="0"/>
          <w:marTop w:val="0"/>
          <w:marBottom w:val="180"/>
          <w:divBdr>
            <w:top w:val="none" w:sz="0" w:space="0" w:color="auto"/>
            <w:left w:val="dotted" w:sz="6" w:space="9" w:color="AAAAAA"/>
            <w:bottom w:val="none" w:sz="0" w:space="0" w:color="auto"/>
            <w:right w:val="none" w:sz="0" w:space="0" w:color="auto"/>
          </w:divBdr>
          <w:divsChild>
            <w:div w:id="174641637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ru/klinicheskie-rekomendatsii/sindrom-deletsii-22-khromosomy-sindrom-didzhordzhi-u-detej_14268/" TargetMode="External"/><Relationship Id="rId13" Type="http://schemas.openxmlformats.org/officeDocument/2006/relationships/hyperlink" Target="https://medi.ru/klinicheskie-rekomendatsii/sindrom-deletsii-22-khromosomy-sindrom-didzhordzhi-u-detej_14268/" TargetMode="External"/><Relationship Id="rId18" Type="http://schemas.openxmlformats.org/officeDocument/2006/relationships/hyperlink" Target="https://medi.ru/klinicheskie-rekomendatsii/sindrom-deletsii-22-khromosomy-sindrom-didzhordzhi-u-detej_1426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medi.ru/klinicheskie-rekomendatsii/sindrom-deletsii-22-khromosomy-sindrom-didzhordzhi-u-detej_14268/" TargetMode="External"/><Relationship Id="rId12" Type="http://schemas.openxmlformats.org/officeDocument/2006/relationships/hyperlink" Target="https://medi.ru/klinicheskie-rekomendatsii/sindrom-deletsii-22-khromosomy-sindrom-didzhordzhi-u-detej_14268/" TargetMode="External"/><Relationship Id="rId17" Type="http://schemas.openxmlformats.org/officeDocument/2006/relationships/hyperlink" Target="https://medi.ru/klinicheskie-rekomendatsii/sindrom-deletsii-22-khromosomy-sindrom-didzhordzhi-u-detej_14268/" TargetMode="External"/><Relationship Id="rId2" Type="http://schemas.openxmlformats.org/officeDocument/2006/relationships/styles" Target="styles.xml"/><Relationship Id="rId16" Type="http://schemas.openxmlformats.org/officeDocument/2006/relationships/hyperlink" Target="https://medi.ru/klinicheskie-rekomendatsii/sindrom-deletsii-22-khromosomy-sindrom-didzhordzhi-u-detej_142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i.ru/klinicheskie-rekomendatsii/sindrom-deletsii-22-khromosomy-sindrom-didzhordzhi-u-detej_14268/" TargetMode="External"/><Relationship Id="rId11" Type="http://schemas.openxmlformats.org/officeDocument/2006/relationships/hyperlink" Target="https://medi.ru/klinicheskie-rekomendatsii/sindrom-deletsii-22-khromosomy-sindrom-didzhordzhi-u-detej_14268/" TargetMode="External"/><Relationship Id="rId5" Type="http://schemas.openxmlformats.org/officeDocument/2006/relationships/webSettings" Target="webSettings.xml"/><Relationship Id="rId15" Type="http://schemas.openxmlformats.org/officeDocument/2006/relationships/hyperlink" Target="https://medi.ru/klinicheskie-rekomendatsii/sindrom-deletsii-22-khromosomy-sindrom-didzhordzhi-u-detej_14268/" TargetMode="External"/><Relationship Id="rId10" Type="http://schemas.openxmlformats.org/officeDocument/2006/relationships/hyperlink" Target="https://medi.ru/klinicheskie-rekomendatsii/sindrom-deletsii-22-khromosomy-sindrom-didzhordzhi-u-detej_14268/" TargetMode="External"/><Relationship Id="rId19" Type="http://schemas.openxmlformats.org/officeDocument/2006/relationships/hyperlink" Target="https://medi.ru/klinicheskie-rekomendatsii/sindrom-deletsii-22-khromosomy-sindrom-didzhordzhi-u-detej_14268/" TargetMode="External"/><Relationship Id="rId4" Type="http://schemas.openxmlformats.org/officeDocument/2006/relationships/settings" Target="settings.xml"/><Relationship Id="rId9" Type="http://schemas.openxmlformats.org/officeDocument/2006/relationships/hyperlink" Target="https://medi.ru/klinicheskie-rekomendatsii/sindrom-deletsii-22-khromosomy-sindrom-didzhordzhi-u-detej_14268/" TargetMode="External"/><Relationship Id="rId14" Type="http://schemas.openxmlformats.org/officeDocument/2006/relationships/hyperlink" Target="https://medi.ru/klinicheskie-rekomendatsii/sindrom-deletsii-22-khromosomy-sindrom-didzhordzhi-u-detej_14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5612</Words>
  <Characters>31991</Characters>
  <Application>Microsoft Office Word</Application>
  <DocSecurity>0</DocSecurity>
  <Lines>266</Lines>
  <Paragraphs>75</Paragraphs>
  <ScaleCrop>false</ScaleCrop>
  <Company/>
  <LinksUpToDate>false</LinksUpToDate>
  <CharactersWithSpaces>37528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Kotova UV</dc:creator>
  <cp:keywords/>
  <dc:description/>
  <cp:lastModifiedBy>Kotova UV</cp:lastModifiedBy>
  <cp:revision>2</cp:revision>
  <dcterms:created xsi:type="dcterms:W3CDTF">2018-09-15T05:48:00Z</dcterms:created>
  <dcterms:modified xsi:type="dcterms:W3CDTF">2018-09-15T05:48:00Z</dcterms:modified>
</cp:coreProperties>
</file>