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89" w:rsidRPr="00FA4889" w:rsidRDefault="00FA4889" w:rsidP="00FA4889">
      <w:pPr>
        <w:shd w:val="clear" w:color="auto" w:fill="FFFFFF"/>
        <w:spacing w:before="300" w:after="270" w:line="240" w:lineRule="auto"/>
        <w:outlineLvl w:val="0"/>
        <w:rPr>
          <w:rFonts w:ascii="inherit" w:eastAsia="Times New Roman" w:hAnsi="inherit" w:cs="Helvetica"/>
          <w:b/>
          <w:bCs/>
          <w:color w:val="444444"/>
          <w:kern w:val="36"/>
          <w:sz w:val="36"/>
          <w:szCs w:val="36"/>
          <w:lang w:eastAsia="ru-RU"/>
        </w:rPr>
      </w:pPr>
      <w:r w:rsidRPr="00FA4889">
        <w:rPr>
          <w:rFonts w:ascii="inherit" w:eastAsia="Times New Roman" w:hAnsi="inherit" w:cs="Helvetica"/>
          <w:b/>
          <w:bCs/>
          <w:color w:val="444444"/>
          <w:kern w:val="36"/>
          <w:sz w:val="36"/>
          <w:szCs w:val="36"/>
          <w:lang w:eastAsia="ru-RU"/>
        </w:rPr>
        <w:t>Синдром делеции 22 хромосомы (синдром ДиДжорджи) у детей</w:t>
      </w:r>
    </w:p>
    <w:p w:rsidR="00FA4889" w:rsidRPr="00FA4889" w:rsidRDefault="00FA4889" w:rsidP="00FA4889">
      <w:pPr>
        <w:shd w:val="clear" w:color="auto" w:fill="F0F0F0"/>
        <w:spacing w:after="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Клинические рекомендации</w:t>
      </w:r>
    </w:p>
    <w:p w:rsidR="00FA4889" w:rsidRPr="00FA4889" w:rsidRDefault="00FA4889" w:rsidP="00FA4889">
      <w:pPr>
        <w:shd w:val="clear" w:color="auto" w:fill="F0F0F0"/>
        <w:spacing w:before="300" w:after="270" w:line="240" w:lineRule="auto"/>
        <w:outlineLvl w:val="1"/>
        <w:rPr>
          <w:rFonts w:ascii="inherit" w:eastAsia="Times New Roman" w:hAnsi="inherit" w:cs="Helvetica"/>
          <w:b/>
          <w:bCs/>
          <w:color w:val="444444"/>
          <w:sz w:val="36"/>
          <w:szCs w:val="36"/>
          <w:lang w:eastAsia="ru-RU"/>
        </w:rPr>
      </w:pPr>
      <w:r w:rsidRPr="00FA4889">
        <w:rPr>
          <w:rFonts w:ascii="inherit" w:eastAsia="Times New Roman" w:hAnsi="inherit" w:cs="Helvetica"/>
          <w:b/>
          <w:bCs/>
          <w:color w:val="444444"/>
          <w:sz w:val="36"/>
          <w:szCs w:val="36"/>
          <w:lang w:eastAsia="ru-RU"/>
        </w:rPr>
        <w:t>Синдром делеции 22 хромосомы (синдром ДиДжорджи) у детей</w:t>
      </w:r>
    </w:p>
    <w:p w:rsidR="00FA4889" w:rsidRPr="00FA4889" w:rsidRDefault="00FA4889" w:rsidP="00FA4889">
      <w:pPr>
        <w:shd w:val="clear" w:color="auto" w:fill="F0F0F0"/>
        <w:spacing w:after="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МКБ 10: </w:t>
      </w:r>
      <w:r w:rsidRPr="00FA4889">
        <w:rPr>
          <w:rFonts w:ascii="Helvetica" w:eastAsia="Times New Roman" w:hAnsi="Helvetica" w:cs="Helvetica"/>
          <w:b/>
          <w:bCs/>
          <w:color w:val="333333"/>
          <w:sz w:val="24"/>
          <w:szCs w:val="24"/>
          <w:lang w:eastAsia="ru-RU"/>
        </w:rPr>
        <w:t>D82.1</w:t>
      </w:r>
    </w:p>
    <w:p w:rsidR="00FA4889" w:rsidRPr="00FA4889" w:rsidRDefault="00FA4889" w:rsidP="00FA4889">
      <w:pPr>
        <w:shd w:val="clear" w:color="auto" w:fill="F0F0F0"/>
        <w:spacing w:after="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Год утверждения (частота пересмотра): </w:t>
      </w:r>
      <w:r w:rsidRPr="00FA4889">
        <w:rPr>
          <w:rFonts w:ascii="Helvetica" w:eastAsia="Times New Roman" w:hAnsi="Helvetica" w:cs="Helvetica"/>
          <w:b/>
          <w:bCs/>
          <w:color w:val="333333"/>
          <w:sz w:val="24"/>
          <w:szCs w:val="24"/>
          <w:lang w:eastAsia="ru-RU"/>
        </w:rPr>
        <w:t>2016 (пересмотр каждые 5 лет)</w:t>
      </w:r>
    </w:p>
    <w:p w:rsidR="00FA4889" w:rsidRPr="00FA4889" w:rsidRDefault="00FA4889" w:rsidP="00FA4889">
      <w:pPr>
        <w:shd w:val="clear" w:color="auto" w:fill="F0F0F0"/>
        <w:spacing w:after="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ID: </w:t>
      </w:r>
      <w:r w:rsidRPr="00FA4889">
        <w:rPr>
          <w:rFonts w:ascii="Helvetica" w:eastAsia="Times New Roman" w:hAnsi="Helvetica" w:cs="Helvetica"/>
          <w:b/>
          <w:bCs/>
          <w:color w:val="333333"/>
          <w:sz w:val="24"/>
          <w:szCs w:val="24"/>
          <w:lang w:eastAsia="ru-RU"/>
        </w:rPr>
        <w:t>КР336</w:t>
      </w:r>
    </w:p>
    <w:p w:rsidR="00FA4889" w:rsidRPr="00FA4889" w:rsidRDefault="00FA4889" w:rsidP="00FA4889">
      <w:pPr>
        <w:shd w:val="clear" w:color="auto" w:fill="F0F0F0"/>
        <w:spacing w:after="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URL:</w:t>
      </w:r>
    </w:p>
    <w:p w:rsidR="00FA4889" w:rsidRPr="00FA4889" w:rsidRDefault="00FA4889" w:rsidP="00FA4889">
      <w:pPr>
        <w:shd w:val="clear" w:color="auto" w:fill="F0F0F0"/>
        <w:spacing w:after="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Профессиональные ассоциации:</w:t>
      </w:r>
    </w:p>
    <w:p w:rsidR="00FA4889" w:rsidRPr="00FA4889" w:rsidRDefault="00FA4889" w:rsidP="00FA4889">
      <w:pPr>
        <w:numPr>
          <w:ilvl w:val="0"/>
          <w:numId w:val="1"/>
        </w:numPr>
        <w:shd w:val="clear" w:color="auto" w:fill="F0F0F0"/>
        <w:spacing w:before="100" w:beforeAutospacing="1" w:after="100" w:afterAutospacing="1"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Национальное общество детских гематологов и онкологов</w:t>
      </w:r>
    </w:p>
    <w:p w:rsidR="00FA4889" w:rsidRPr="00FA4889" w:rsidRDefault="00FA4889" w:rsidP="00FA4889">
      <w:pPr>
        <w:numPr>
          <w:ilvl w:val="0"/>
          <w:numId w:val="1"/>
        </w:numPr>
        <w:shd w:val="clear" w:color="auto" w:fill="F0F0F0"/>
        <w:spacing w:before="100" w:beforeAutospacing="1" w:after="100" w:afterAutospacing="1"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Национальное общество экспертов по первичным иммунодефицитам</w:t>
      </w:r>
    </w:p>
    <w:p w:rsidR="00FA4889" w:rsidRPr="00FA4889" w:rsidRDefault="00FA4889" w:rsidP="00FA4889">
      <w:pPr>
        <w:shd w:val="clear" w:color="auto" w:fill="F0F0F0"/>
        <w:spacing w:after="0" w:line="240" w:lineRule="auto"/>
        <w:rPr>
          <w:rFonts w:ascii="Helvetica" w:eastAsia="Times New Roman" w:hAnsi="Helvetica" w:cs="Helvetica"/>
          <w:color w:val="AAAAAA"/>
          <w:sz w:val="24"/>
          <w:szCs w:val="24"/>
          <w:lang w:eastAsia="ru-RU"/>
        </w:rPr>
      </w:pPr>
      <w:r w:rsidRPr="00FA4889">
        <w:rPr>
          <w:rFonts w:ascii="Helvetica" w:eastAsia="Times New Roman" w:hAnsi="Helvetica" w:cs="Helvetica"/>
          <w:color w:val="AAAAAA"/>
          <w:sz w:val="24"/>
          <w:szCs w:val="24"/>
          <w:lang w:eastAsia="ru-RU"/>
        </w:rPr>
        <w:t>Утверждены</w:t>
      </w:r>
    </w:p>
    <w:p w:rsidR="00FA4889" w:rsidRPr="00FA4889" w:rsidRDefault="00FA4889" w:rsidP="00FA4889">
      <w:pPr>
        <w:shd w:val="clear" w:color="auto" w:fill="F0F0F0"/>
        <w:spacing w:after="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Национальным обществом детских гематологов и онкологов</w:t>
      </w:r>
    </w:p>
    <w:p w:rsidR="00FA4889" w:rsidRPr="00FA4889" w:rsidRDefault="00FA4889" w:rsidP="00FA4889">
      <w:pPr>
        <w:shd w:val="clear" w:color="auto" w:fill="F0F0F0"/>
        <w:spacing w:after="0" w:line="240" w:lineRule="auto"/>
        <w:rPr>
          <w:rFonts w:ascii="Helvetica" w:eastAsia="Times New Roman" w:hAnsi="Helvetica" w:cs="Helvetica"/>
          <w:color w:val="AAAAAA"/>
          <w:sz w:val="24"/>
          <w:szCs w:val="24"/>
          <w:lang w:eastAsia="ru-RU"/>
        </w:rPr>
      </w:pPr>
      <w:r w:rsidRPr="00FA4889">
        <w:rPr>
          <w:rFonts w:ascii="Helvetica" w:eastAsia="Times New Roman" w:hAnsi="Helvetica" w:cs="Helvetica"/>
          <w:color w:val="AAAAAA"/>
          <w:sz w:val="24"/>
          <w:szCs w:val="24"/>
          <w:lang w:eastAsia="ru-RU"/>
        </w:rPr>
        <w:t>Согласованы</w:t>
      </w:r>
    </w:p>
    <w:p w:rsidR="00FA4889" w:rsidRPr="00FA4889" w:rsidRDefault="00FA4889" w:rsidP="00FA4889">
      <w:pPr>
        <w:shd w:val="clear" w:color="auto" w:fill="F0F0F0"/>
        <w:spacing w:after="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Научным советом Министерства Здравоохранения Российской Федерации__ __________201_ г.</w:t>
      </w:r>
    </w:p>
    <w:p w:rsidR="00FA4889" w:rsidRPr="00FA4889" w:rsidRDefault="00FA4889" w:rsidP="00FA488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A4889">
        <w:rPr>
          <w:rFonts w:ascii="inherit" w:eastAsia="Times New Roman" w:hAnsi="inherit" w:cs="Helvetica"/>
          <w:b/>
          <w:bCs/>
          <w:color w:val="444444"/>
          <w:sz w:val="36"/>
          <w:szCs w:val="36"/>
          <w:lang w:eastAsia="ru-RU"/>
        </w:rPr>
        <w:t>Оглавление</w:t>
      </w:r>
    </w:p>
    <w:p w:rsidR="00FA4889" w:rsidRPr="00FA4889" w:rsidRDefault="00FA4889" w:rsidP="00FA488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6" w:anchor="part_2" w:history="1">
        <w:r w:rsidRPr="00FA4889">
          <w:rPr>
            <w:rFonts w:ascii="Helvetica" w:eastAsia="Times New Roman" w:hAnsi="Helvetica" w:cs="Helvetica"/>
            <w:color w:val="336688"/>
            <w:sz w:val="24"/>
            <w:szCs w:val="24"/>
            <w:lang w:eastAsia="ru-RU"/>
          </w:rPr>
          <w:t>Ключевые слова</w:t>
        </w:r>
      </w:hyperlink>
    </w:p>
    <w:p w:rsidR="00FA4889" w:rsidRPr="00FA4889" w:rsidRDefault="00FA4889" w:rsidP="00FA488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7" w:anchor="part_3" w:history="1">
        <w:r w:rsidRPr="00FA4889">
          <w:rPr>
            <w:rFonts w:ascii="Helvetica" w:eastAsia="Times New Roman" w:hAnsi="Helvetica" w:cs="Helvetica"/>
            <w:color w:val="336688"/>
            <w:sz w:val="24"/>
            <w:szCs w:val="24"/>
            <w:lang w:eastAsia="ru-RU"/>
          </w:rPr>
          <w:t>Список сокращений</w:t>
        </w:r>
      </w:hyperlink>
    </w:p>
    <w:p w:rsidR="00FA4889" w:rsidRPr="00FA4889" w:rsidRDefault="00FA4889" w:rsidP="00FA488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8" w:anchor="part_4" w:history="1">
        <w:r w:rsidRPr="00FA4889">
          <w:rPr>
            <w:rFonts w:ascii="Helvetica" w:eastAsia="Times New Roman" w:hAnsi="Helvetica" w:cs="Helvetica"/>
            <w:color w:val="336688"/>
            <w:sz w:val="24"/>
            <w:szCs w:val="24"/>
            <w:lang w:eastAsia="ru-RU"/>
          </w:rPr>
          <w:t>Термины и определения</w:t>
        </w:r>
      </w:hyperlink>
    </w:p>
    <w:p w:rsidR="00FA4889" w:rsidRPr="00FA4889" w:rsidRDefault="00FA4889" w:rsidP="00FA488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9" w:anchor="part_5" w:history="1">
        <w:r w:rsidRPr="00FA4889">
          <w:rPr>
            <w:rFonts w:ascii="Helvetica" w:eastAsia="Times New Roman" w:hAnsi="Helvetica" w:cs="Helvetica"/>
            <w:color w:val="336688"/>
            <w:sz w:val="24"/>
            <w:szCs w:val="24"/>
            <w:lang w:eastAsia="ru-RU"/>
          </w:rPr>
          <w:t>1. Краткая информация</w:t>
        </w:r>
      </w:hyperlink>
    </w:p>
    <w:p w:rsidR="00FA4889" w:rsidRPr="00FA4889" w:rsidRDefault="00FA4889" w:rsidP="00FA488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0" w:anchor="part_6" w:history="1">
        <w:r w:rsidRPr="00FA4889">
          <w:rPr>
            <w:rFonts w:ascii="Helvetica" w:eastAsia="Times New Roman" w:hAnsi="Helvetica" w:cs="Helvetica"/>
            <w:color w:val="336688"/>
            <w:sz w:val="24"/>
            <w:szCs w:val="24"/>
            <w:lang w:eastAsia="ru-RU"/>
          </w:rPr>
          <w:t>2. Диагностика</w:t>
        </w:r>
      </w:hyperlink>
    </w:p>
    <w:p w:rsidR="00FA4889" w:rsidRPr="00FA4889" w:rsidRDefault="00FA4889" w:rsidP="00FA488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1" w:anchor="part_7" w:history="1">
        <w:r w:rsidRPr="00FA4889">
          <w:rPr>
            <w:rFonts w:ascii="Helvetica" w:eastAsia="Times New Roman" w:hAnsi="Helvetica" w:cs="Helvetica"/>
            <w:color w:val="336688"/>
            <w:sz w:val="24"/>
            <w:szCs w:val="24"/>
            <w:lang w:eastAsia="ru-RU"/>
          </w:rPr>
          <w:t>3. Лечение</w:t>
        </w:r>
      </w:hyperlink>
    </w:p>
    <w:p w:rsidR="00FA4889" w:rsidRPr="00FA4889" w:rsidRDefault="00FA4889" w:rsidP="00FA488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2" w:anchor="part_8" w:history="1">
        <w:r w:rsidRPr="00FA4889">
          <w:rPr>
            <w:rFonts w:ascii="Helvetica" w:eastAsia="Times New Roman" w:hAnsi="Helvetica" w:cs="Helvetica"/>
            <w:color w:val="336688"/>
            <w:sz w:val="24"/>
            <w:szCs w:val="24"/>
            <w:lang w:eastAsia="ru-RU"/>
          </w:rPr>
          <w:t>4. Реабилитация</w:t>
        </w:r>
      </w:hyperlink>
    </w:p>
    <w:p w:rsidR="00FA4889" w:rsidRPr="00FA4889" w:rsidRDefault="00FA4889" w:rsidP="00FA488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3" w:anchor="part_9" w:history="1">
        <w:r w:rsidRPr="00FA4889">
          <w:rPr>
            <w:rFonts w:ascii="Helvetica" w:eastAsia="Times New Roman" w:hAnsi="Helvetica" w:cs="Helvetica"/>
            <w:color w:val="336688"/>
            <w:sz w:val="24"/>
            <w:szCs w:val="24"/>
            <w:lang w:eastAsia="ru-RU"/>
          </w:rPr>
          <w:t>5. Профилактика и диспансерное наблюдение</w:t>
        </w:r>
      </w:hyperlink>
    </w:p>
    <w:p w:rsidR="00FA4889" w:rsidRPr="00FA4889" w:rsidRDefault="00FA4889" w:rsidP="00FA488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4" w:anchor="part_10" w:history="1">
        <w:r w:rsidRPr="00FA4889">
          <w:rPr>
            <w:rFonts w:ascii="Helvetica" w:eastAsia="Times New Roman" w:hAnsi="Helvetica" w:cs="Helvetica"/>
            <w:color w:val="336688"/>
            <w:sz w:val="24"/>
            <w:szCs w:val="24"/>
            <w:lang w:eastAsia="ru-RU"/>
          </w:rPr>
          <w:t>6. Дополнительная информация, влияющая на течение и исход заболевания</w:t>
        </w:r>
      </w:hyperlink>
    </w:p>
    <w:p w:rsidR="00FA4889" w:rsidRPr="00FA4889" w:rsidRDefault="00FA4889" w:rsidP="00FA488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5" w:anchor="part_11" w:history="1">
        <w:r w:rsidRPr="00FA4889">
          <w:rPr>
            <w:rFonts w:ascii="Helvetica" w:eastAsia="Times New Roman" w:hAnsi="Helvetica" w:cs="Helvetica"/>
            <w:color w:val="336688"/>
            <w:sz w:val="24"/>
            <w:szCs w:val="24"/>
            <w:lang w:eastAsia="ru-RU"/>
          </w:rPr>
          <w:t>Критерии оценки качества медицинской помощи</w:t>
        </w:r>
      </w:hyperlink>
    </w:p>
    <w:p w:rsidR="00FA4889" w:rsidRPr="00FA4889" w:rsidRDefault="00FA4889" w:rsidP="00FA488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6" w:anchor="part_12" w:history="1">
        <w:r w:rsidRPr="00FA4889">
          <w:rPr>
            <w:rFonts w:ascii="Helvetica" w:eastAsia="Times New Roman" w:hAnsi="Helvetica" w:cs="Helvetica"/>
            <w:color w:val="336688"/>
            <w:sz w:val="24"/>
            <w:szCs w:val="24"/>
            <w:lang w:eastAsia="ru-RU"/>
          </w:rPr>
          <w:t>Список литературы</w:t>
        </w:r>
      </w:hyperlink>
    </w:p>
    <w:p w:rsidR="00FA4889" w:rsidRPr="00FA4889" w:rsidRDefault="00FA4889" w:rsidP="00FA488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7" w:anchor="part_13" w:history="1">
        <w:r w:rsidRPr="00FA4889">
          <w:rPr>
            <w:rFonts w:ascii="Helvetica" w:eastAsia="Times New Roman" w:hAnsi="Helvetica" w:cs="Helvetica"/>
            <w:color w:val="336688"/>
            <w:sz w:val="24"/>
            <w:szCs w:val="24"/>
            <w:lang w:eastAsia="ru-RU"/>
          </w:rPr>
          <w:t>Приложение А1. Состав рабочей группы</w:t>
        </w:r>
      </w:hyperlink>
    </w:p>
    <w:p w:rsidR="00FA4889" w:rsidRPr="00FA4889" w:rsidRDefault="00FA4889" w:rsidP="00FA488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8" w:anchor="part_14" w:history="1">
        <w:r w:rsidRPr="00FA4889">
          <w:rPr>
            <w:rFonts w:ascii="Helvetica" w:eastAsia="Times New Roman" w:hAnsi="Helvetica" w:cs="Helvetica"/>
            <w:color w:val="336688"/>
            <w:sz w:val="24"/>
            <w:szCs w:val="24"/>
            <w:lang w:eastAsia="ru-RU"/>
          </w:rPr>
          <w:t>Приложение А2. Методология разработки клинических рекомендаций</w:t>
        </w:r>
      </w:hyperlink>
    </w:p>
    <w:p w:rsidR="00FA4889" w:rsidRPr="00FA4889" w:rsidRDefault="00FA4889" w:rsidP="00FA488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9" w:anchor="part_17" w:history="1">
        <w:r w:rsidRPr="00FA4889">
          <w:rPr>
            <w:rFonts w:ascii="Helvetica" w:eastAsia="Times New Roman" w:hAnsi="Helvetica" w:cs="Helvetica"/>
            <w:color w:val="336688"/>
            <w:sz w:val="24"/>
            <w:szCs w:val="24"/>
            <w:lang w:eastAsia="ru-RU"/>
          </w:rPr>
          <w:t>Приложение В. Информация для пациентов</w:t>
        </w:r>
      </w:hyperlink>
    </w:p>
    <w:p w:rsidR="00FA4889" w:rsidRPr="00FA4889" w:rsidRDefault="00FA4889" w:rsidP="00FA488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A4889">
        <w:rPr>
          <w:rFonts w:ascii="inherit" w:eastAsia="Times New Roman" w:hAnsi="inherit" w:cs="Helvetica"/>
          <w:b/>
          <w:bCs/>
          <w:color w:val="444444"/>
          <w:sz w:val="36"/>
          <w:szCs w:val="36"/>
          <w:lang w:eastAsia="ru-RU"/>
        </w:rPr>
        <w:t>Ключевые слова</w:t>
      </w:r>
    </w:p>
    <w:p w:rsidR="00FA4889" w:rsidRPr="00FA4889" w:rsidRDefault="00FA4889" w:rsidP="00FA488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Аутоиммунные осложнения</w:t>
      </w:r>
    </w:p>
    <w:p w:rsidR="00FA4889" w:rsidRPr="00FA4889" w:rsidRDefault="00FA4889" w:rsidP="00FA488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Велофарингеальная недостаточность</w:t>
      </w:r>
    </w:p>
    <w:p w:rsidR="00FA4889" w:rsidRPr="00FA4889" w:rsidRDefault="00FA4889" w:rsidP="00FA488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Врожденный порок сердца</w:t>
      </w:r>
    </w:p>
    <w:p w:rsidR="00FA4889" w:rsidRPr="00FA4889" w:rsidRDefault="00FA4889" w:rsidP="00FA488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lastRenderedPageBreak/>
        <w:t>Гипокальциемия</w:t>
      </w:r>
    </w:p>
    <w:p w:rsidR="00FA4889" w:rsidRPr="00FA4889" w:rsidRDefault="00FA4889" w:rsidP="00FA488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Гипопаратиреоз</w:t>
      </w:r>
    </w:p>
    <w:p w:rsidR="00FA4889" w:rsidRPr="00FA4889" w:rsidRDefault="00FA4889" w:rsidP="00FA488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Делеция 22 хромосомы</w:t>
      </w:r>
    </w:p>
    <w:p w:rsidR="00FA4889" w:rsidRPr="00FA4889" w:rsidRDefault="00FA4889" w:rsidP="00FA488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Дефект Т-клеточного звена</w:t>
      </w:r>
    </w:p>
    <w:p w:rsidR="00FA4889" w:rsidRPr="00FA4889" w:rsidRDefault="00FA4889" w:rsidP="00FA488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Задержка речевого и психомоторного развития</w:t>
      </w:r>
    </w:p>
    <w:p w:rsidR="00FA4889" w:rsidRPr="00FA4889" w:rsidRDefault="00FA4889" w:rsidP="00FA488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Задержка физического развития</w:t>
      </w:r>
    </w:p>
    <w:p w:rsidR="00FA4889" w:rsidRPr="00FA4889" w:rsidRDefault="00FA4889" w:rsidP="00FA488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Внутривенные иммуноглобулины</w:t>
      </w:r>
    </w:p>
    <w:p w:rsidR="00FA4889" w:rsidRPr="00FA4889" w:rsidRDefault="00FA4889" w:rsidP="00FA488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Инфекционные осложнения</w:t>
      </w:r>
    </w:p>
    <w:p w:rsidR="00FA4889" w:rsidRPr="00FA4889" w:rsidRDefault="00FA4889" w:rsidP="00FA488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Расщепление неба и верхней губы</w:t>
      </w:r>
    </w:p>
    <w:p w:rsidR="00FA4889" w:rsidRPr="00FA4889" w:rsidRDefault="00FA4889" w:rsidP="00FA488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Синдром ДиДжорджи</w:t>
      </w:r>
    </w:p>
    <w:p w:rsidR="00FA4889" w:rsidRPr="00FA4889" w:rsidRDefault="00FA4889" w:rsidP="00FA488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A4889">
        <w:rPr>
          <w:rFonts w:ascii="inherit" w:eastAsia="Times New Roman" w:hAnsi="inherit" w:cs="Helvetica"/>
          <w:b/>
          <w:bCs/>
          <w:color w:val="444444"/>
          <w:sz w:val="36"/>
          <w:szCs w:val="36"/>
          <w:lang w:eastAsia="ru-RU"/>
        </w:rPr>
        <w:t>Список сокращений</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АИГА – аутоиммунная гемолитическая анемия</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АЛТ — аланинаминотрансфераза</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АСТ — аспартатаминотрансфераза</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ВВИГ — внутривенные иммуноглобулины</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ВЗК – воспалительные заболевания кишечника</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ВПС – врожденный порок сердца</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ГКС — глюкокортикостероиды</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ДНК — дезоксирибонуклеиновая кислота</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ЖКТ — желудочно-кишечный тракт</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ИТП – иммунная тромбоцитопения</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КМ — костный мозг</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КТ — компьютерная томография</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ЛОР - ларингооторинолог</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ЛПУ — лечебно-профилактическое учреждение</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МЗ — Министерство здравоохранения</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МКБ-10 — Международная классификация болезней 10-го пересмотра</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МРТ —магнитно-резонансная томография</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РКИ — рандомизированные контролируемые исследования</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РНК — рибонуклеиновая кислота</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РФ — Российская Федерация</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Синдром del 22q11 – синдром делеции 22 хромосомы=синдром ДиДжорджи</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СДД - синдром ДиДжорджи</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lastRenderedPageBreak/>
        <w:t>ТГСК – трансплантация гемопоэтических стволовых клеток</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УЗИ – ультразвуковое исследование</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ЭКГ – электрокардиограмма</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ЭхоКГ -эхокардиография</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ЮРА – ювенильный ревматоидный артрит</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del 22q11.2 – делеция длинного плеча 22 хромосомы локус 11.2</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САТСН 22 - Cardiac defects, Abnormal facies, Thymic hypoplasia, Cleft palate, Hypocalcemia, 22q deletion – порок сердца, лицевые аномалии, гипоплазия тимуса, расщелина неба, гипокальцемия, делеция 22</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val="en-US" w:eastAsia="ru-RU"/>
        </w:rPr>
      </w:pPr>
      <w:r w:rsidRPr="00FA4889">
        <w:rPr>
          <w:rFonts w:ascii="Helvetica" w:eastAsia="Times New Roman" w:hAnsi="Helvetica" w:cs="Helvetica"/>
          <w:color w:val="333333"/>
          <w:sz w:val="24"/>
          <w:szCs w:val="24"/>
          <w:lang w:val="en-US" w:eastAsia="ru-RU"/>
        </w:rPr>
        <w:t xml:space="preserve">FISH –fluorescent in situ hybridization - </w:t>
      </w:r>
      <w:r w:rsidRPr="00FA4889">
        <w:rPr>
          <w:rFonts w:ascii="Helvetica" w:eastAsia="Times New Roman" w:hAnsi="Helvetica" w:cs="Helvetica"/>
          <w:color w:val="333333"/>
          <w:sz w:val="24"/>
          <w:szCs w:val="24"/>
          <w:lang w:eastAsia="ru-RU"/>
        </w:rPr>
        <w:t>флуоресцентная</w:t>
      </w:r>
      <w:r w:rsidRPr="00FA4889">
        <w:rPr>
          <w:rFonts w:ascii="Helvetica" w:eastAsia="Times New Roman" w:hAnsi="Helvetica" w:cs="Helvetica"/>
          <w:color w:val="333333"/>
          <w:sz w:val="24"/>
          <w:szCs w:val="24"/>
          <w:lang w:val="en-US" w:eastAsia="ru-RU"/>
        </w:rPr>
        <w:t xml:space="preserve"> </w:t>
      </w:r>
      <w:r w:rsidRPr="00FA4889">
        <w:rPr>
          <w:rFonts w:ascii="Helvetica" w:eastAsia="Times New Roman" w:hAnsi="Helvetica" w:cs="Helvetica"/>
          <w:color w:val="333333"/>
          <w:sz w:val="24"/>
          <w:szCs w:val="24"/>
          <w:lang w:eastAsia="ru-RU"/>
        </w:rPr>
        <w:t>гибридизация</w:t>
      </w:r>
      <w:r w:rsidRPr="00FA4889">
        <w:rPr>
          <w:rFonts w:ascii="Helvetica" w:eastAsia="Times New Roman" w:hAnsi="Helvetica" w:cs="Helvetica"/>
          <w:color w:val="333333"/>
          <w:sz w:val="24"/>
          <w:szCs w:val="24"/>
          <w:lang w:val="en-US" w:eastAsia="ru-RU"/>
        </w:rPr>
        <w:t xml:space="preserve"> in situ</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val="en-US" w:eastAsia="ru-RU"/>
        </w:rPr>
      </w:pPr>
      <w:r w:rsidRPr="00FA4889">
        <w:rPr>
          <w:rFonts w:ascii="Helvetica" w:eastAsia="Times New Roman" w:hAnsi="Helvetica" w:cs="Helvetica"/>
          <w:color w:val="333333"/>
          <w:sz w:val="24"/>
          <w:szCs w:val="24"/>
          <w:lang w:eastAsia="ru-RU"/>
        </w:rPr>
        <w:t>ТВХ</w:t>
      </w:r>
      <w:r w:rsidRPr="00FA4889">
        <w:rPr>
          <w:rFonts w:ascii="Helvetica" w:eastAsia="Times New Roman" w:hAnsi="Helvetica" w:cs="Helvetica"/>
          <w:color w:val="333333"/>
          <w:sz w:val="24"/>
          <w:szCs w:val="24"/>
          <w:lang w:val="en-US" w:eastAsia="ru-RU"/>
        </w:rPr>
        <w:t xml:space="preserve"> 1 </w:t>
      </w:r>
      <w:r w:rsidRPr="00FA4889">
        <w:rPr>
          <w:rFonts w:ascii="Helvetica" w:eastAsia="Times New Roman" w:hAnsi="Helvetica" w:cs="Helvetica"/>
          <w:color w:val="333333"/>
          <w:sz w:val="24"/>
          <w:szCs w:val="24"/>
          <w:lang w:eastAsia="ru-RU"/>
        </w:rPr>
        <w:t>ген</w:t>
      </w:r>
      <w:r w:rsidRPr="00FA4889">
        <w:rPr>
          <w:rFonts w:ascii="Helvetica" w:eastAsia="Times New Roman" w:hAnsi="Helvetica" w:cs="Helvetica"/>
          <w:color w:val="333333"/>
          <w:sz w:val="24"/>
          <w:szCs w:val="24"/>
          <w:lang w:val="en-US" w:eastAsia="ru-RU"/>
        </w:rPr>
        <w:t xml:space="preserve"> –</w:t>
      </w:r>
      <w:r w:rsidRPr="00FA4889">
        <w:rPr>
          <w:rFonts w:ascii="Helvetica" w:eastAsia="Times New Roman" w:hAnsi="Helvetica" w:cs="Helvetica"/>
          <w:color w:val="333333"/>
          <w:sz w:val="24"/>
          <w:szCs w:val="24"/>
          <w:lang w:eastAsia="ru-RU"/>
        </w:rPr>
        <w:t>Т</w:t>
      </w:r>
      <w:r w:rsidRPr="00FA4889">
        <w:rPr>
          <w:rFonts w:ascii="Helvetica" w:eastAsia="Times New Roman" w:hAnsi="Helvetica" w:cs="Helvetica"/>
          <w:color w:val="333333"/>
          <w:sz w:val="24"/>
          <w:szCs w:val="24"/>
          <w:lang w:val="en-US" w:eastAsia="ru-RU"/>
        </w:rPr>
        <w:t xml:space="preserve"> </w:t>
      </w:r>
      <w:r w:rsidRPr="00FA4889">
        <w:rPr>
          <w:rFonts w:ascii="Helvetica" w:eastAsia="Times New Roman" w:hAnsi="Helvetica" w:cs="Helvetica"/>
          <w:color w:val="333333"/>
          <w:sz w:val="24"/>
          <w:szCs w:val="24"/>
          <w:lang w:eastAsia="ru-RU"/>
        </w:rPr>
        <w:t>бокс</w:t>
      </w:r>
      <w:r w:rsidRPr="00FA4889">
        <w:rPr>
          <w:rFonts w:ascii="Helvetica" w:eastAsia="Times New Roman" w:hAnsi="Helvetica" w:cs="Helvetica"/>
          <w:color w:val="333333"/>
          <w:sz w:val="24"/>
          <w:szCs w:val="24"/>
          <w:lang w:val="en-US" w:eastAsia="ru-RU"/>
        </w:rPr>
        <w:t xml:space="preserve"> 1 </w:t>
      </w:r>
      <w:r w:rsidRPr="00FA4889">
        <w:rPr>
          <w:rFonts w:ascii="Helvetica" w:eastAsia="Times New Roman" w:hAnsi="Helvetica" w:cs="Helvetica"/>
          <w:color w:val="333333"/>
          <w:sz w:val="24"/>
          <w:szCs w:val="24"/>
          <w:lang w:eastAsia="ru-RU"/>
        </w:rPr>
        <w:t>ген</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val="en-US" w:eastAsia="ru-RU"/>
        </w:rPr>
      </w:pPr>
      <w:r w:rsidRPr="00FA4889">
        <w:rPr>
          <w:rFonts w:ascii="Helvetica" w:eastAsia="Times New Roman" w:hAnsi="Helvetica" w:cs="Helvetica"/>
          <w:color w:val="333333"/>
          <w:sz w:val="24"/>
          <w:szCs w:val="24"/>
          <w:lang w:val="en-US" w:eastAsia="ru-RU"/>
        </w:rPr>
        <w:t>TREC - T-cell Receptor Excision Circles</w:t>
      </w:r>
    </w:p>
    <w:p w:rsidR="00FA4889" w:rsidRPr="00FA4889" w:rsidRDefault="00FA4889" w:rsidP="00FA488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A4889">
        <w:rPr>
          <w:rFonts w:ascii="inherit" w:eastAsia="Times New Roman" w:hAnsi="inherit" w:cs="Helvetica"/>
          <w:b/>
          <w:bCs/>
          <w:color w:val="444444"/>
          <w:sz w:val="36"/>
          <w:szCs w:val="36"/>
          <w:lang w:eastAsia="ru-RU"/>
        </w:rPr>
        <w:t>Термины и определения</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Внутривенные иммуноглобулины – </w:t>
      </w:r>
      <w:r w:rsidRPr="00FA4889">
        <w:rPr>
          <w:rFonts w:ascii="Helvetica" w:eastAsia="Times New Roman" w:hAnsi="Helvetica" w:cs="Helvetica"/>
          <w:color w:val="333333"/>
          <w:sz w:val="24"/>
          <w:szCs w:val="24"/>
          <w:lang w:eastAsia="ru-RU"/>
        </w:rPr>
        <w:t>препараты, содержащие преимущественно нормальный человеческий IgG. Изготовляются из пулированной плазмы тысяч здоровых доноров, с применением специальных методов очистки и вирусинактивации.</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Делеция</w:t>
      </w:r>
      <w:r w:rsidRPr="00FA4889">
        <w:rPr>
          <w:rFonts w:ascii="Helvetica" w:eastAsia="Times New Roman" w:hAnsi="Helvetica" w:cs="Helvetica"/>
          <w:color w:val="333333"/>
          <w:sz w:val="24"/>
          <w:szCs w:val="24"/>
          <w:lang w:eastAsia="ru-RU"/>
        </w:rPr>
        <w:t> – потеря участка хромосомы</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Хромосомные аберрации</w:t>
      </w:r>
      <w:r w:rsidRPr="00FA4889">
        <w:rPr>
          <w:rFonts w:ascii="Helvetica" w:eastAsia="Times New Roman" w:hAnsi="Helvetica" w:cs="Helvetica"/>
          <w:color w:val="333333"/>
          <w:sz w:val="24"/>
          <w:szCs w:val="24"/>
          <w:lang w:eastAsia="ru-RU"/>
        </w:rPr>
        <w:t> – изменение числа и\или структуры хромосом</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Микрогнатия</w:t>
      </w:r>
      <w:r w:rsidRPr="00FA4889">
        <w:rPr>
          <w:rFonts w:ascii="Helvetica" w:eastAsia="Times New Roman" w:hAnsi="Helvetica" w:cs="Helvetica"/>
          <w:color w:val="333333"/>
          <w:sz w:val="24"/>
          <w:szCs w:val="24"/>
          <w:lang w:eastAsia="ru-RU"/>
        </w:rPr>
        <w:t> - недоразвитие (гипоплазия) челюстных костей.</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Ретрогнатия</w:t>
      </w:r>
      <w:r w:rsidRPr="00FA4889">
        <w:rPr>
          <w:rFonts w:ascii="Helvetica" w:eastAsia="Times New Roman" w:hAnsi="Helvetica" w:cs="Helvetica"/>
          <w:color w:val="333333"/>
          <w:sz w:val="24"/>
          <w:szCs w:val="24"/>
          <w:lang w:eastAsia="ru-RU"/>
        </w:rPr>
        <w:t> - смещение челюстной кости в дорзальном направлении (кзади)</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Гипертелоризм</w:t>
      </w:r>
      <w:r w:rsidRPr="00FA4889">
        <w:rPr>
          <w:rFonts w:ascii="Helvetica" w:eastAsia="Times New Roman" w:hAnsi="Helvetica" w:cs="Helvetica"/>
          <w:color w:val="333333"/>
          <w:sz w:val="24"/>
          <w:szCs w:val="24"/>
          <w:lang w:eastAsia="ru-RU"/>
        </w:rPr>
        <w:t> - увеличенное расстояние между глазами</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TREC</w:t>
      </w:r>
      <w:r w:rsidRPr="00FA4889">
        <w:rPr>
          <w:rFonts w:ascii="Helvetica" w:eastAsia="Times New Roman" w:hAnsi="Helvetica" w:cs="Helvetica"/>
          <w:color w:val="333333"/>
          <w:sz w:val="24"/>
          <w:szCs w:val="24"/>
          <w:lang w:eastAsia="ru-RU"/>
        </w:rPr>
        <w:t> – кольцевые фрагменты ДНК, образующиеся при развитии Т лимфоцитов в тимусе, в частности, в процессе формирования Т клеточного рецептора. Их концентрация в крови отражает эффективность тимопоэза. Используется для скрининга Т клеточных иммунодефицитов.</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Трансплантация гематопоэтических стволовых клеток – </w:t>
      </w:r>
      <w:r w:rsidRPr="00FA4889">
        <w:rPr>
          <w:rFonts w:ascii="Helvetica" w:eastAsia="Times New Roman" w:hAnsi="Helvetica" w:cs="Helvetica"/>
          <w:color w:val="333333"/>
          <w:sz w:val="24"/>
          <w:szCs w:val="24"/>
          <w:lang w:eastAsia="ru-RU"/>
        </w:rPr>
        <w:t>метод лечения некоторых наследственных и приобретенных гематологических, онкологических и иммунных заболеваний, основанный на замене собственного, патологического кроветворения больного на нормальное кроветворение донора.</w:t>
      </w:r>
    </w:p>
    <w:p w:rsidR="00FA4889" w:rsidRPr="00FA4889" w:rsidRDefault="00FA4889" w:rsidP="00FA488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A4889">
        <w:rPr>
          <w:rFonts w:ascii="inherit" w:eastAsia="Times New Roman" w:hAnsi="inherit" w:cs="Helvetica"/>
          <w:b/>
          <w:bCs/>
          <w:color w:val="444444"/>
          <w:sz w:val="36"/>
          <w:szCs w:val="36"/>
          <w:lang w:eastAsia="ru-RU"/>
        </w:rPr>
        <w:t>1. Краткая информация</w:t>
      </w:r>
    </w:p>
    <w:p w:rsidR="00FA4889" w:rsidRPr="00FA4889" w:rsidRDefault="00FA4889" w:rsidP="00FA488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A4889">
        <w:rPr>
          <w:rFonts w:ascii="inherit" w:eastAsia="Times New Roman" w:hAnsi="inherit" w:cs="Helvetica"/>
          <w:b/>
          <w:bCs/>
          <w:color w:val="333333"/>
          <w:sz w:val="32"/>
          <w:szCs w:val="32"/>
          <w:u w:val="single"/>
          <w:lang w:eastAsia="ru-RU"/>
        </w:rPr>
        <w:t>1.1 Определение</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Синдром делеции 22-й хромосомы (синдром del 22q11) или синдром ДиДжоржи (СДД) — это совокупность морфологических, иммунологических и неврологических изменений, которые являются следствием делеции длинного плеча одной копии 22-й хромосомы — del 22q11.2 [1,2].</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lastRenderedPageBreak/>
        <w:t>В классическом понятии этот синдром представляет собой комплекс симптомов, состоящий из патологии лицевого скелета (расщелины твердого неба), врожденного порока сердца, иммунодефицита вследствие гипоплазии (аплазии) тимуса и гипокальциемии, как результат гипоплазии паращитовидной железы [1,3].</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Как ни один другой синдром, синдром del 22q11.2 вариабелен в количестве признаков и степени их выраженности, что и объясняет тот факт, что этот синдром в литературе имеет порядка десятка различных названий, включая синдром ДиДжорджи, САТСН 22, велокардиофациальный сидром, Шпринтцена синдром, Кайлера синдром, синдром лицевых и конотрункальных аномалий и т.д.[1,3,4].</w:t>
      </w:r>
    </w:p>
    <w:p w:rsidR="00FA4889" w:rsidRPr="00FA4889" w:rsidRDefault="00FA4889" w:rsidP="00FA488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A4889">
        <w:rPr>
          <w:rFonts w:ascii="inherit" w:eastAsia="Times New Roman" w:hAnsi="inherit" w:cs="Helvetica"/>
          <w:b/>
          <w:bCs/>
          <w:color w:val="333333"/>
          <w:sz w:val="32"/>
          <w:szCs w:val="32"/>
          <w:u w:val="single"/>
          <w:lang w:eastAsia="ru-RU"/>
        </w:rPr>
        <w:t>1.2 Этиология и патогенез</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В основе заболевания лежит нарушение формирования органов, происходящих их третьей жаберной дуги (нижняя часть лицевого скелета, тимус, паращитовидная железа, верхние отделы сердца и магистральных сосудов). Цитогенетические и молекулярные исследования показали, что делеция 22q11.2 является ведущей причиной СДД и возникает спорадически более чем в 90% случаев [5,6,7]. В 10% случаев делеция наследуется от одного из родителей, так как наследование происходит аутосомно- доминантным путем [1,4]. В редких случаях синдром является проявлением перестроек других хромосом, а также мутации гена ТВХ1 [4].</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Анализ ДНК пациентов с СДД хромосомы выявил, что в 85-90% случаев выпадающий участок является одним и тем же. Дефект находится между D22S427 на 22q11.21 и D22S801 на 22q11.23. В этом участке локализовано не менее 40 генов, что составляет около 3 млн пар нуклеиновых оснований. В 10-12% случаев встречаются более короткие делеции, которые составляют 1,5-2 млн парных оснований. Было описано несколько пациентов с синдромом делеции 22-й хромосомы, имеющих делеции за пределами наиболее часто выпадающих участков [5,6]. Результаты проведенных исследований свидетельствуют о том, что степень выраженности фенотипа не коррелирует с размером делеции, т.е. пациент с потерей 1,5 млн парных оснований может иметь такой же по тяжести фенотип, как и с делецией в 3 млн парных оснований [2,5]. Кроме того, было замечено, что вариабельность фенотипических проявлений варьирует как внутри одной семьи, так и между семьями, несмотря на идентичные участки делеции [5].</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Делеция вызывает выпадение участка, включающего ген ТВХ, ген фактора транскрипции, участвующего в развитии фарингеальных дуг [5,6]. Эти изменения, в свою очередь, ведут к нарушению формирования сердца и магистральных сосудов, иммунологическим изменениям, расщеплению нёба и верхней губы, гипопаратиреоидизму, задержке умственного развития.</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Несмотря на то, что ТВХ1, без сомнения, является главным геном, формирующим фенотип при синдроме делеции 22-й хромосомы, в результате исследований были выявлены и другие гены, недостаточная экспрессия которых может играть роль в формировании фенотипических проявлений [6,7].</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Учитывая результаты работ по выяснению молекулярных основ заболевания, ясно, что в формировании фенотипа играет роль комплексное нарушение экспрессии и взаимодействия генов, их модификаторов и других составляющих, что приводит к дальнейшему нарушению эмбрио- и органогенеза [4,5,7].</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lastRenderedPageBreak/>
        <w:t>Соответственно, при отсутствии или нарушении функции и экспрессии генов и дальнейших процессов происходит формирование пороков развития, характерных для СДД [1,5].</w:t>
      </w:r>
    </w:p>
    <w:p w:rsidR="00FA4889" w:rsidRPr="00FA4889" w:rsidRDefault="00FA4889" w:rsidP="00FA488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A4889">
        <w:rPr>
          <w:rFonts w:ascii="inherit" w:eastAsia="Times New Roman" w:hAnsi="inherit" w:cs="Helvetica"/>
          <w:b/>
          <w:bCs/>
          <w:color w:val="333333"/>
          <w:sz w:val="32"/>
          <w:szCs w:val="32"/>
          <w:u w:val="single"/>
          <w:lang w:eastAsia="ru-RU"/>
        </w:rPr>
        <w:t>1.3 Эпидемиология</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Синдром делеции 22-й хромосомы — одна из самых частых делеций среди других хромосомных аберраций в человеческом геноме, по частоте она уступает лишь синдрому Дауна, трисомии по 21-й хромосоме. Частота встречаемости варьирует от 1:4000 до 1:6000 новорожденных [1,2,3]. Не наблюдается ни половой, ни этнической предрасположенности к данному синдрому. Большинство пациентов с СДД имеют патологию лицевого скелета и врожденный порок сердца и развивают гипокальциемию вскоре после рождения [6]. Пациенты, не имеющие данных симптомов, зачастую диагностируются в раннем возрасте, и правильный значительно запаздывает.</w:t>
      </w:r>
    </w:p>
    <w:p w:rsidR="00FA4889" w:rsidRPr="00FA4889" w:rsidRDefault="00FA4889" w:rsidP="00FA488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A4889">
        <w:rPr>
          <w:rFonts w:ascii="inherit" w:eastAsia="Times New Roman" w:hAnsi="inherit" w:cs="Helvetica"/>
          <w:b/>
          <w:bCs/>
          <w:color w:val="333333"/>
          <w:sz w:val="32"/>
          <w:szCs w:val="32"/>
          <w:u w:val="single"/>
          <w:lang w:eastAsia="ru-RU"/>
        </w:rPr>
        <w:t>1.4 Кодирование по МКБ-10</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Другие иммунодефициты </w:t>
      </w:r>
      <w:r w:rsidRPr="00FA4889">
        <w:rPr>
          <w:rFonts w:ascii="Helvetica" w:eastAsia="Times New Roman" w:hAnsi="Helvetica" w:cs="Helvetica"/>
          <w:color w:val="333333"/>
          <w:sz w:val="24"/>
          <w:szCs w:val="24"/>
          <w:lang w:eastAsia="ru-RU"/>
        </w:rPr>
        <w:t>(D84):</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D84.1 – Синдром ДиГеорга.</w:t>
      </w:r>
    </w:p>
    <w:p w:rsidR="00FA4889" w:rsidRPr="00FA4889" w:rsidRDefault="00FA4889" w:rsidP="00FA488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A4889">
        <w:rPr>
          <w:rFonts w:ascii="inherit" w:eastAsia="Times New Roman" w:hAnsi="inherit" w:cs="Helvetica"/>
          <w:b/>
          <w:bCs/>
          <w:color w:val="333333"/>
          <w:sz w:val="32"/>
          <w:szCs w:val="32"/>
          <w:u w:val="single"/>
          <w:lang w:eastAsia="ru-RU"/>
        </w:rPr>
        <w:t>1.5 Классификация</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Исторически сложилось, что в литературе часто используется разделение синдрома на полный и неполный (частичный) [1,3,5]:</w:t>
      </w:r>
    </w:p>
    <w:p w:rsidR="00FA4889" w:rsidRPr="00FA4889" w:rsidRDefault="00FA4889" w:rsidP="00FA4889">
      <w:pPr>
        <w:numPr>
          <w:ilvl w:val="0"/>
          <w:numId w:val="4"/>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Термин «Полный синдром ДиДжорджи» использовался у пациентов, имеющих полный спектр типичных проявлений, включая выраженный иммунодефицит.</w:t>
      </w:r>
    </w:p>
    <w:p w:rsidR="00FA4889" w:rsidRPr="00FA4889" w:rsidRDefault="00FA4889" w:rsidP="00FA4889">
      <w:pPr>
        <w:numPr>
          <w:ilvl w:val="0"/>
          <w:numId w:val="4"/>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Термин «Частичный синдром ДиДжорджи» использовался у пациентов, если они имели лишь некоторые типичные признаки, особенно без проявлений выраженного иммунодефицита. Частичный синдром делеции 22-й хромосомы в значительной степени превалирует по количеству в сравнении с полным.</w:t>
      </w:r>
    </w:p>
    <w:p w:rsidR="00FA4889" w:rsidRPr="00FA4889" w:rsidRDefault="00FA4889" w:rsidP="00FA488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A4889">
        <w:rPr>
          <w:rFonts w:ascii="inherit" w:eastAsia="Times New Roman" w:hAnsi="inherit" w:cs="Helvetica"/>
          <w:b/>
          <w:bCs/>
          <w:color w:val="444444"/>
          <w:sz w:val="36"/>
          <w:szCs w:val="36"/>
          <w:lang w:eastAsia="ru-RU"/>
        </w:rPr>
        <w:t>2. Диагностика</w:t>
      </w:r>
    </w:p>
    <w:p w:rsidR="00FA4889" w:rsidRPr="00FA4889" w:rsidRDefault="00FA4889" w:rsidP="00FA488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A4889">
        <w:rPr>
          <w:rFonts w:ascii="inherit" w:eastAsia="Times New Roman" w:hAnsi="inherit" w:cs="Helvetica"/>
          <w:b/>
          <w:bCs/>
          <w:color w:val="333333"/>
          <w:sz w:val="32"/>
          <w:szCs w:val="32"/>
          <w:u w:val="single"/>
          <w:lang w:eastAsia="ru-RU"/>
        </w:rPr>
        <w:t>2.1 Жалобы и анамнез</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i/>
          <w:iCs/>
          <w:color w:val="333333"/>
          <w:sz w:val="24"/>
          <w:szCs w:val="24"/>
          <w:lang w:eastAsia="ru-RU"/>
        </w:rPr>
        <w:t>Спектр клинических проявлений при синдроме делеции 22-й хромосомы достаточно широк [3,6,9,11,12,14,15], поэтому жалобы и анамнез заболевания могут быть крайне разнообразными и различными по степени выраженности:</w:t>
      </w:r>
    </w:p>
    <w:p w:rsidR="00FA4889" w:rsidRPr="00FA4889" w:rsidRDefault="00FA4889" w:rsidP="00FA4889">
      <w:pPr>
        <w:numPr>
          <w:ilvl w:val="0"/>
          <w:numId w:val="5"/>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i/>
          <w:iCs/>
          <w:color w:val="333333"/>
          <w:sz w:val="24"/>
          <w:szCs w:val="24"/>
          <w:lang w:eastAsia="ru-RU"/>
        </w:rPr>
        <w:t>Врожденный порок сердца представлен не менее, чем в 80% случаев. Некоторые из пороков являются более патогномоничными: прерывание дуги аорты, общий артериальный ствол и тетрада Фалло являются наиболее частыми среди данной группы детей [6,11].</w:t>
      </w:r>
    </w:p>
    <w:p w:rsidR="00FA4889" w:rsidRPr="00FA4889" w:rsidRDefault="00FA4889" w:rsidP="00FA4889">
      <w:pPr>
        <w:numPr>
          <w:ilvl w:val="0"/>
          <w:numId w:val="5"/>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i/>
          <w:iCs/>
          <w:color w:val="333333"/>
          <w:sz w:val="24"/>
          <w:szCs w:val="24"/>
          <w:lang w:eastAsia="ru-RU"/>
        </w:rPr>
        <w:t>Гипокальциемия/гипопаратиреоз может проявляться судорожным синдромом при выраженном дефиците кальция в младенческом возрасте [6,12].</w:t>
      </w:r>
    </w:p>
    <w:p w:rsidR="00FA4889" w:rsidRPr="00FA4889" w:rsidRDefault="00FA4889" w:rsidP="00FA4889">
      <w:pPr>
        <w:numPr>
          <w:ilvl w:val="0"/>
          <w:numId w:val="5"/>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i/>
          <w:iCs/>
          <w:color w:val="333333"/>
          <w:sz w:val="24"/>
          <w:szCs w:val="24"/>
          <w:lang w:eastAsia="ru-RU"/>
        </w:rPr>
        <w:lastRenderedPageBreak/>
        <w:t>Поражение носоглоточного аппарата выявлено примерно в 70% случаев и проявляется в виде велофарингеальной недостаточности, расщеплении нёба, губы, раздвоении уздечки нёба, гнусавым оттенком голоса, также описано снижение обоняния, кондуктивная и/или сен- соневральная тугоухость [6,10,13].</w:t>
      </w:r>
    </w:p>
    <w:p w:rsidR="00FA4889" w:rsidRPr="00FA4889" w:rsidRDefault="00FA4889" w:rsidP="00FA4889">
      <w:pPr>
        <w:numPr>
          <w:ilvl w:val="0"/>
          <w:numId w:val="5"/>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i/>
          <w:iCs/>
          <w:color w:val="333333"/>
          <w:sz w:val="24"/>
          <w:szCs w:val="24"/>
          <w:lang w:eastAsia="ru-RU"/>
        </w:rPr>
        <w:t>Характерные черты лица (удлиненное лицо, микрогнатия или ретрогнатия, широкая переносица, мелкие зубы, асимметрия лица при плаче, опущенные вниз уголки рта, глазной гипертелоризм, низко посаженные и деформированные ушные раковины, бульбообразный кончик носа) [2,5,10].</w:t>
      </w:r>
    </w:p>
    <w:p w:rsidR="00FA4889" w:rsidRPr="00FA4889" w:rsidRDefault="00FA4889" w:rsidP="00FA4889">
      <w:pPr>
        <w:numPr>
          <w:ilvl w:val="0"/>
          <w:numId w:val="5"/>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i/>
          <w:iCs/>
          <w:color w:val="333333"/>
          <w:sz w:val="24"/>
          <w:szCs w:val="24"/>
          <w:lang w:eastAsia="ru-RU"/>
        </w:rPr>
        <w:t>Иммунологические нарушения встречаются в 77% случаев. Однако инфекционные проявления вследствие дефекта иммунной системы дебютируют не с рождения. Чаще других звеньев поражается Т-клеточное звено, что проявляется предрасположенностью к грибковым заболеваниям, пневмоцистной инфекции, некоторым бактериальным и вирусным инфекциям [1,8,10].</w:t>
      </w:r>
    </w:p>
    <w:p w:rsidR="00FA4889" w:rsidRPr="00FA4889" w:rsidRDefault="00FA4889" w:rsidP="00FA4889">
      <w:pPr>
        <w:numPr>
          <w:ilvl w:val="0"/>
          <w:numId w:val="5"/>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i/>
          <w:iCs/>
          <w:color w:val="333333"/>
          <w:sz w:val="24"/>
          <w:szCs w:val="24"/>
          <w:lang w:eastAsia="ru-RU"/>
        </w:rPr>
        <w:t>Нарушение выработки Т-клеток может предрасполагать к аутоиммунным заболеваниям. Описаны такие осложнения синдрома делеции 22-й хромосомы, как ЮРА, ХТП, АИГА, ВЗК, болезнь Грейвса, аутоиммунный увеит, бронхиальная астма [1,9,10,14].</w:t>
      </w:r>
    </w:p>
    <w:p w:rsidR="00FA4889" w:rsidRPr="00FA4889" w:rsidRDefault="00FA4889" w:rsidP="00FA4889">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i/>
          <w:iCs/>
          <w:color w:val="333333"/>
          <w:sz w:val="24"/>
          <w:szCs w:val="24"/>
          <w:lang w:eastAsia="ru-RU"/>
        </w:rPr>
        <w:t>Задержка физического развития нередко наблюдается у пациентов с синдромом делеции 22q11.2-й хромосомы, которые несколько отличаются от стандартных таблиц [1,2,6,10].</w:t>
      </w:r>
    </w:p>
    <w:p w:rsidR="00FA4889" w:rsidRPr="00FA4889" w:rsidRDefault="00FA4889" w:rsidP="00FA4889">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i/>
          <w:iCs/>
          <w:color w:val="333333"/>
          <w:sz w:val="24"/>
          <w:szCs w:val="24"/>
          <w:lang w:eastAsia="ru-RU"/>
        </w:rPr>
        <w:t>Задержка речевого и психомоторного развития наблюдается у 70—90% и проявляется с возрастом, однако тестирование пациентов с задержкой развития имеет смысл только в случаях сочетании с другими признаками [2,10,15].</w:t>
      </w:r>
    </w:p>
    <w:p w:rsidR="00FA4889" w:rsidRPr="00FA4889" w:rsidRDefault="00FA4889" w:rsidP="00FA488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A4889">
        <w:rPr>
          <w:rFonts w:ascii="inherit" w:eastAsia="Times New Roman" w:hAnsi="inherit" w:cs="Helvetica"/>
          <w:b/>
          <w:bCs/>
          <w:color w:val="333333"/>
          <w:sz w:val="32"/>
          <w:szCs w:val="32"/>
          <w:u w:val="single"/>
          <w:lang w:eastAsia="ru-RU"/>
        </w:rPr>
        <w:t>2.2 Физикальное обследование</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i/>
          <w:iCs/>
          <w:color w:val="333333"/>
          <w:sz w:val="24"/>
          <w:szCs w:val="24"/>
          <w:lang w:eastAsia="ru-RU"/>
        </w:rPr>
        <w:t>Физическое развитие большинства пациентов низкое и дисгармоничное по весу [1,10].</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i/>
          <w:iCs/>
          <w:color w:val="333333"/>
          <w:sz w:val="24"/>
          <w:szCs w:val="24"/>
          <w:lang w:eastAsia="ru-RU"/>
        </w:rPr>
        <w:t>Стигмы дисэмбриогенеза широко вариабельны и не являются патогномоничными, однако чаще других признаков обращают на себя вни</w:t>
      </w:r>
      <w:r w:rsidRPr="00FA4889">
        <w:rPr>
          <w:rFonts w:ascii="Helvetica" w:eastAsia="Times New Roman" w:hAnsi="Helvetica" w:cs="Helvetica"/>
          <w:i/>
          <w:iCs/>
          <w:color w:val="333333"/>
          <w:sz w:val="24"/>
          <w:szCs w:val="24"/>
          <w:lang w:eastAsia="ru-RU"/>
        </w:rPr>
        <w:softHyphen/>
        <w:t>мание глазной гипертелоризм, бульбообразный кончик носа и низко посаженные и\ или деформированные ушные раковины [6,10,13]. Могут проявляться признаки дыхательной и сердечной недостаточно</w:t>
      </w:r>
      <w:r w:rsidRPr="00FA4889">
        <w:rPr>
          <w:rFonts w:ascii="Helvetica" w:eastAsia="Times New Roman" w:hAnsi="Helvetica" w:cs="Helvetica"/>
          <w:i/>
          <w:iCs/>
          <w:color w:val="333333"/>
          <w:sz w:val="24"/>
          <w:szCs w:val="24"/>
          <w:lang w:eastAsia="ru-RU"/>
        </w:rPr>
        <w:softHyphen/>
        <w:t>сти [2,11]. Могут встречаться пороки развития дыхательной, пищеварительной, костно-мышечной и других систем. Задержка умственного и речевого развития встречается у подавляющего числа пациентов с данным синдромом [2,3,15].</w:t>
      </w:r>
    </w:p>
    <w:p w:rsidR="00FA4889" w:rsidRPr="00FA4889" w:rsidRDefault="00FA4889" w:rsidP="00FA488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A4889">
        <w:rPr>
          <w:rFonts w:ascii="inherit" w:eastAsia="Times New Roman" w:hAnsi="inherit" w:cs="Helvetica"/>
          <w:b/>
          <w:bCs/>
          <w:color w:val="333333"/>
          <w:sz w:val="32"/>
          <w:szCs w:val="32"/>
          <w:u w:val="single"/>
          <w:lang w:eastAsia="ru-RU"/>
        </w:rPr>
        <w:t>2.3 Лабораторная диагностика</w:t>
      </w:r>
    </w:p>
    <w:p w:rsidR="00FA4889" w:rsidRPr="00FA4889" w:rsidRDefault="00FA4889" w:rsidP="00FA4889">
      <w:pPr>
        <w:numPr>
          <w:ilvl w:val="0"/>
          <w:numId w:val="7"/>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клинический анализ крови [2,3].</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3)</w:t>
      </w:r>
    </w:p>
    <w:p w:rsidR="00FA4889" w:rsidRPr="00FA4889" w:rsidRDefault="00FA4889" w:rsidP="00FA4889">
      <w:pPr>
        <w:numPr>
          <w:ilvl w:val="0"/>
          <w:numId w:val="8"/>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исследование уровня ионизированного кальция, паратиреоиного гормона [12].</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lastRenderedPageBreak/>
        <w:t>Уровень убедительности рекомендаций В (уровень достоверности доказательств – 2)</w:t>
      </w:r>
    </w:p>
    <w:p w:rsidR="00FA4889" w:rsidRPr="00FA4889" w:rsidRDefault="00FA4889" w:rsidP="00FA4889">
      <w:pPr>
        <w:numPr>
          <w:ilvl w:val="0"/>
          <w:numId w:val="9"/>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исследование уровня гормонов щитовидной железы [12].</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С (уровень достоверности доказательств – 3)</w:t>
      </w:r>
    </w:p>
    <w:p w:rsidR="00FA4889" w:rsidRPr="00FA4889" w:rsidRDefault="00FA4889" w:rsidP="00FA4889">
      <w:pPr>
        <w:numPr>
          <w:ilvl w:val="0"/>
          <w:numId w:val="10"/>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исследование уровня сывороточных иммуноглобулинов и клеточного иммунитета, включая определение количества наивных Т-лимфоцитов [1,10,16,17].</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2)</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Комментарии:</w:t>
      </w:r>
      <w:r w:rsidRPr="00FA4889">
        <w:rPr>
          <w:rFonts w:ascii="Helvetica" w:eastAsia="Times New Roman" w:hAnsi="Helvetica" w:cs="Helvetica"/>
          <w:color w:val="333333"/>
          <w:sz w:val="24"/>
          <w:szCs w:val="24"/>
          <w:lang w:eastAsia="ru-RU"/>
        </w:rPr>
        <w:t> </w:t>
      </w:r>
      <w:r w:rsidRPr="00FA4889">
        <w:rPr>
          <w:rFonts w:ascii="Helvetica" w:eastAsia="Times New Roman" w:hAnsi="Helvetica" w:cs="Helvetica"/>
          <w:i/>
          <w:iCs/>
          <w:color w:val="333333"/>
          <w:sz w:val="24"/>
          <w:szCs w:val="24"/>
          <w:lang w:eastAsia="ru-RU"/>
        </w:rPr>
        <w:t>Отмечается незначительная лимфопения. Характерно снижение содержания различных субпопуляций Т-клеток. Содержание иммуноглобулинов, как правило, нормальное, иногда повышен IgE и снижен IgA. Общее количество CD3+ Т-клеток снижено, однако CD4 / CD8 соотношение не нарушено. Соотношение наивных Т-клеток / Т-клеток памяти понижено [1,10,16,17].</w:t>
      </w:r>
    </w:p>
    <w:p w:rsidR="00FA4889" w:rsidRPr="00FA4889" w:rsidRDefault="00FA4889" w:rsidP="00FA4889">
      <w:pPr>
        <w:numPr>
          <w:ilvl w:val="0"/>
          <w:numId w:val="11"/>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исследование митогенного ответа (Т-клеточный пролиферативный ответ на воздей</w:t>
      </w:r>
      <w:r w:rsidRPr="00FA4889">
        <w:rPr>
          <w:rFonts w:ascii="Helvetica" w:eastAsia="Times New Roman" w:hAnsi="Helvetica" w:cs="Helvetica"/>
          <w:color w:val="333333"/>
          <w:sz w:val="24"/>
          <w:szCs w:val="24"/>
          <w:lang w:eastAsia="ru-RU"/>
        </w:rPr>
        <w:softHyphen/>
        <w:t>ствие антигенов) [17].</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2)</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Комментарии: </w:t>
      </w:r>
      <w:r w:rsidRPr="00FA4889">
        <w:rPr>
          <w:rFonts w:ascii="Helvetica" w:eastAsia="Times New Roman" w:hAnsi="Helvetica" w:cs="Helvetica"/>
          <w:i/>
          <w:iCs/>
          <w:color w:val="333333"/>
          <w:sz w:val="24"/>
          <w:szCs w:val="24"/>
          <w:lang w:eastAsia="ru-RU"/>
        </w:rPr>
        <w:t>Ответ лимфоцитов после стимуляции митогеном отсутствует, снижен, или нормальный (в зависимости от степени гипоплазии тимуса) [17].</w:t>
      </w:r>
    </w:p>
    <w:p w:rsidR="00FA4889" w:rsidRPr="00FA4889" w:rsidRDefault="00FA4889" w:rsidP="00FA4889">
      <w:pPr>
        <w:numPr>
          <w:ilvl w:val="0"/>
          <w:numId w:val="12"/>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исследование уровня TREC (T-cell Receptor Excision Circles) [10,17].</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2)</w:t>
      </w:r>
    </w:p>
    <w:p w:rsidR="00FA4889" w:rsidRPr="00FA4889" w:rsidRDefault="00FA4889" w:rsidP="00FA4889">
      <w:pPr>
        <w:numPr>
          <w:ilvl w:val="0"/>
          <w:numId w:val="13"/>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исследование уровня специфических антител, если ребенок вакцинирован [9,10,17].</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2)</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Комментарии:</w:t>
      </w:r>
      <w:r w:rsidRPr="00FA4889">
        <w:rPr>
          <w:rFonts w:ascii="Helvetica" w:eastAsia="Times New Roman" w:hAnsi="Helvetica" w:cs="Helvetica"/>
          <w:color w:val="333333"/>
          <w:sz w:val="24"/>
          <w:szCs w:val="24"/>
          <w:lang w:eastAsia="ru-RU"/>
        </w:rPr>
        <w:t> </w:t>
      </w:r>
      <w:r w:rsidRPr="00FA4889">
        <w:rPr>
          <w:rFonts w:ascii="Helvetica" w:eastAsia="Times New Roman" w:hAnsi="Helvetica" w:cs="Helvetica"/>
          <w:i/>
          <w:iCs/>
          <w:color w:val="333333"/>
          <w:sz w:val="24"/>
          <w:szCs w:val="24"/>
          <w:lang w:eastAsia="ru-RU"/>
        </w:rPr>
        <w:t>Содержание сывороточных иммуноглобулинов может быть не нарушено, однако ответ на иммунизацию часто снижен [9,10,17].</w:t>
      </w:r>
    </w:p>
    <w:p w:rsidR="00FA4889" w:rsidRPr="00FA4889" w:rsidRDefault="00FA4889" w:rsidP="00FA488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A4889">
        <w:rPr>
          <w:rFonts w:ascii="inherit" w:eastAsia="Times New Roman" w:hAnsi="inherit" w:cs="Helvetica"/>
          <w:b/>
          <w:bCs/>
          <w:color w:val="333333"/>
          <w:sz w:val="32"/>
          <w:szCs w:val="32"/>
          <w:u w:val="single"/>
          <w:lang w:eastAsia="ru-RU"/>
        </w:rPr>
        <w:t>2.4 Инструментальная диагностика</w:t>
      </w:r>
    </w:p>
    <w:p w:rsidR="00FA4889" w:rsidRPr="00FA4889" w:rsidRDefault="00FA4889" w:rsidP="00FA4889">
      <w:pPr>
        <w:numPr>
          <w:ilvl w:val="0"/>
          <w:numId w:val="14"/>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проведение электрокардиографии (ЭКГ) [2,11,18].</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3)</w:t>
      </w:r>
    </w:p>
    <w:p w:rsidR="00FA4889" w:rsidRPr="00FA4889" w:rsidRDefault="00FA4889" w:rsidP="00FA4889">
      <w:pPr>
        <w:numPr>
          <w:ilvl w:val="0"/>
          <w:numId w:val="15"/>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проведение эхокардиграфии (ЭхоКГ) [2,3,6,11,18].</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FA4889" w:rsidRPr="00FA4889" w:rsidRDefault="00FA4889" w:rsidP="00FA4889">
      <w:pPr>
        <w:numPr>
          <w:ilvl w:val="0"/>
          <w:numId w:val="16"/>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lastRenderedPageBreak/>
        <w:t>Рекомендуется проведение ультразвукового исследования (УЗИ) органов мочевыводящей системы [10,16].</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С (уровень достоверности доказательств – 3)</w:t>
      </w:r>
    </w:p>
    <w:p w:rsidR="00FA4889" w:rsidRPr="00FA4889" w:rsidRDefault="00FA4889" w:rsidP="00FA4889">
      <w:pPr>
        <w:numPr>
          <w:ilvl w:val="0"/>
          <w:numId w:val="17"/>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проведение рентгенографии (РГ) органов грудной клетки [2,3,10].</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2)</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Комментарии: </w:t>
      </w:r>
      <w:r w:rsidRPr="00FA4889">
        <w:rPr>
          <w:rFonts w:ascii="Helvetica" w:eastAsia="Times New Roman" w:hAnsi="Helvetica" w:cs="Helvetica"/>
          <w:i/>
          <w:iCs/>
          <w:color w:val="333333"/>
          <w:sz w:val="24"/>
          <w:szCs w:val="24"/>
          <w:lang w:eastAsia="ru-RU"/>
        </w:rPr>
        <w:t>Визуализация может показать отсутствие тени тимуса [2,3,10].</w:t>
      </w:r>
    </w:p>
    <w:p w:rsidR="00FA4889" w:rsidRPr="00FA4889" w:rsidRDefault="00FA4889" w:rsidP="00FA4889">
      <w:pPr>
        <w:numPr>
          <w:ilvl w:val="0"/>
          <w:numId w:val="18"/>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назофарингеальная эндоскопия [9,10].</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FA4889" w:rsidRPr="00FA4889" w:rsidRDefault="00FA4889" w:rsidP="00FA4889">
      <w:pPr>
        <w:numPr>
          <w:ilvl w:val="0"/>
          <w:numId w:val="19"/>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проведение аудиометрии [3].</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3)</w:t>
      </w:r>
    </w:p>
    <w:p w:rsidR="00FA4889" w:rsidRPr="00FA4889" w:rsidRDefault="00FA4889" w:rsidP="00FA4889">
      <w:pPr>
        <w:numPr>
          <w:ilvl w:val="0"/>
          <w:numId w:val="20"/>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офтальмологическое обследование [2,3].</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3)</w:t>
      </w:r>
    </w:p>
    <w:p w:rsidR="00FA4889" w:rsidRPr="00FA4889" w:rsidRDefault="00FA4889" w:rsidP="00FA4889">
      <w:pPr>
        <w:numPr>
          <w:ilvl w:val="0"/>
          <w:numId w:val="21"/>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оценка физического развития [1,2,16].</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FA4889" w:rsidRPr="00FA4889" w:rsidRDefault="00FA4889" w:rsidP="00FA4889">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магнитно-резонансная томография (МРТ)/компьютерная томография (КТ) по показаниям [10].</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3)</w:t>
      </w:r>
    </w:p>
    <w:p w:rsidR="00FA4889" w:rsidRPr="00FA4889" w:rsidRDefault="00FA4889" w:rsidP="00FA4889">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ангиография по показаниям [10].</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3)</w:t>
      </w:r>
    </w:p>
    <w:p w:rsidR="00FA4889" w:rsidRPr="00FA4889" w:rsidRDefault="00FA4889" w:rsidP="00FA488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A4889">
        <w:rPr>
          <w:rFonts w:ascii="inherit" w:eastAsia="Times New Roman" w:hAnsi="inherit" w:cs="Helvetica"/>
          <w:b/>
          <w:bCs/>
          <w:color w:val="333333"/>
          <w:sz w:val="32"/>
          <w:szCs w:val="32"/>
          <w:u w:val="single"/>
          <w:lang w:eastAsia="ru-RU"/>
        </w:rPr>
        <w:t>2.5 Иная диагностика</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2.5.1 Молекулярно-генетическое обследование</w:t>
      </w:r>
    </w:p>
    <w:p w:rsidR="00FA4889" w:rsidRPr="00FA4889" w:rsidRDefault="00FA4889" w:rsidP="00FA4889">
      <w:pPr>
        <w:numPr>
          <w:ilvl w:val="0"/>
          <w:numId w:val="24"/>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молекулярно-генетическое исследование методом флюоресцентной гибридизации in situ (FISH) с ДНК-зондом TUPLE 1 (HIRA) [6,7,8].</w:t>
      </w:r>
    </w:p>
    <w:p w:rsidR="00FA4889" w:rsidRPr="00FA4889" w:rsidRDefault="00FA4889" w:rsidP="00FA4889">
      <w:pPr>
        <w:shd w:val="clear" w:color="auto" w:fill="FFFFFF"/>
        <w:spacing w:after="150" w:line="240" w:lineRule="auto"/>
        <w:ind w:left="720"/>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FA4889" w:rsidRPr="00FA4889" w:rsidRDefault="00FA4889" w:rsidP="00FA4889">
      <w:pPr>
        <w:numPr>
          <w:ilvl w:val="0"/>
          <w:numId w:val="25"/>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молекулярно-генетическое исследование методом полимеразной цепной реакции и электрофореза с помощью анализа микросателлитного полиморфизма по определенным локусам, перекрывающим область делеции 22-й хромосомы [7].</w:t>
      </w:r>
    </w:p>
    <w:p w:rsidR="00FA4889" w:rsidRPr="00FA4889" w:rsidRDefault="00FA4889" w:rsidP="00FA4889">
      <w:pPr>
        <w:shd w:val="clear" w:color="auto" w:fill="FFFFFF"/>
        <w:spacing w:after="150" w:line="240" w:lineRule="auto"/>
        <w:ind w:left="720"/>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lastRenderedPageBreak/>
        <w:t>Уровень убедительности рекомендаций А (уровень достоверности доказательств – 1)</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Комментарии:</w:t>
      </w:r>
      <w:r w:rsidRPr="00FA4889">
        <w:rPr>
          <w:rFonts w:ascii="Helvetica" w:eastAsia="Times New Roman" w:hAnsi="Helvetica" w:cs="Helvetica"/>
          <w:color w:val="333333"/>
          <w:sz w:val="24"/>
          <w:szCs w:val="24"/>
          <w:lang w:eastAsia="ru-RU"/>
        </w:rPr>
        <w:t> </w:t>
      </w:r>
      <w:r w:rsidRPr="00FA4889">
        <w:rPr>
          <w:rFonts w:ascii="Helvetica" w:eastAsia="Times New Roman" w:hAnsi="Helvetica" w:cs="Helvetica"/>
          <w:i/>
          <w:iCs/>
          <w:color w:val="333333"/>
          <w:sz w:val="24"/>
          <w:szCs w:val="24"/>
          <w:lang w:eastAsia="ru-RU"/>
        </w:rPr>
        <w:t>Встречаются пациенты с клиническими проявлениями синдрома делеции 22-й хромосомы, но с отрицательными результатами по диагностике делеции 22-й хромосомы. В таких случаях нельзя исключить мутации в гене ТВХ1 [7].</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2.5.2 Консультации специалистов </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i/>
          <w:iCs/>
          <w:color w:val="333333"/>
          <w:sz w:val="24"/>
          <w:szCs w:val="24"/>
          <w:lang w:eastAsia="ru-RU"/>
        </w:rPr>
        <w:t>Рекомендуются консультации следующих специалистов:</w:t>
      </w:r>
      <w:r w:rsidRPr="00FA4889">
        <w:rPr>
          <w:rFonts w:ascii="Helvetica" w:eastAsia="Times New Roman" w:hAnsi="Helvetica" w:cs="Helvetica"/>
          <w:b/>
          <w:bCs/>
          <w:i/>
          <w:iCs/>
          <w:color w:val="333333"/>
          <w:sz w:val="24"/>
          <w:szCs w:val="24"/>
          <w:lang w:eastAsia="ru-RU"/>
        </w:rPr>
        <w:t> </w:t>
      </w:r>
      <w:r w:rsidRPr="00FA4889">
        <w:rPr>
          <w:rFonts w:ascii="Helvetica" w:eastAsia="Times New Roman" w:hAnsi="Helvetica" w:cs="Helvetica"/>
          <w:i/>
          <w:iCs/>
          <w:color w:val="333333"/>
          <w:sz w:val="24"/>
          <w:szCs w:val="24"/>
          <w:lang w:eastAsia="ru-RU"/>
        </w:rPr>
        <w:t>кардиолога; иммунолога; челюстно-лицевого хирурга; эндокринолога; ЛОР-врача; офтальмолога; невролога/психиатра; других специалистов по показаниям [1,3,9].</w:t>
      </w:r>
    </w:p>
    <w:p w:rsidR="00FA4889" w:rsidRPr="00FA4889" w:rsidRDefault="00FA4889" w:rsidP="00FA4889">
      <w:pPr>
        <w:shd w:val="clear" w:color="auto" w:fill="FFFFFF"/>
        <w:spacing w:after="0" w:line="240" w:lineRule="auto"/>
        <w:rPr>
          <w:rFonts w:ascii="Helvetica" w:eastAsia="Times New Roman" w:hAnsi="Helvetica" w:cs="Helvetica"/>
          <w:color w:val="333333"/>
          <w:sz w:val="24"/>
          <w:szCs w:val="24"/>
          <w:lang w:val="en-US" w:eastAsia="ru-RU"/>
        </w:rPr>
      </w:pPr>
      <w:r w:rsidRPr="00FA4889">
        <w:rPr>
          <w:rFonts w:ascii="Helvetica" w:eastAsia="Times New Roman" w:hAnsi="Helvetica" w:cs="Helvetica"/>
          <w:color w:val="333333"/>
          <w:sz w:val="24"/>
          <w:szCs w:val="24"/>
          <w:lang w:val="en-US" w:eastAsia="ru-RU"/>
        </w:rPr>
        <w:t>T-cell Receptor Excision Circles</w:t>
      </w:r>
    </w:p>
    <w:p w:rsidR="00FA4889" w:rsidRPr="00FA4889" w:rsidRDefault="00FA4889" w:rsidP="00FA4889">
      <w:pPr>
        <w:shd w:val="clear" w:color="auto" w:fill="FFFFFF"/>
        <w:spacing w:before="300" w:after="270" w:line="240" w:lineRule="auto"/>
        <w:outlineLvl w:val="1"/>
        <w:rPr>
          <w:rFonts w:ascii="inherit" w:eastAsia="Times New Roman" w:hAnsi="inherit" w:cs="Helvetica"/>
          <w:b/>
          <w:bCs/>
          <w:color w:val="444444"/>
          <w:sz w:val="36"/>
          <w:szCs w:val="36"/>
          <w:lang w:val="en-US" w:eastAsia="ru-RU"/>
        </w:rPr>
      </w:pPr>
      <w:r w:rsidRPr="00FA4889">
        <w:rPr>
          <w:rFonts w:ascii="inherit" w:eastAsia="Times New Roman" w:hAnsi="inherit" w:cs="Helvetica"/>
          <w:b/>
          <w:bCs/>
          <w:color w:val="444444"/>
          <w:sz w:val="36"/>
          <w:szCs w:val="36"/>
          <w:lang w:val="en-US" w:eastAsia="ru-RU"/>
        </w:rPr>
        <w:t xml:space="preserve">3. </w:t>
      </w:r>
      <w:r w:rsidRPr="00FA4889">
        <w:rPr>
          <w:rFonts w:ascii="inherit" w:eastAsia="Times New Roman" w:hAnsi="inherit" w:cs="Helvetica"/>
          <w:b/>
          <w:bCs/>
          <w:color w:val="444444"/>
          <w:sz w:val="36"/>
          <w:szCs w:val="36"/>
          <w:lang w:eastAsia="ru-RU"/>
        </w:rPr>
        <w:t>Лечение</w:t>
      </w:r>
    </w:p>
    <w:p w:rsidR="00FA4889" w:rsidRPr="00FA4889" w:rsidRDefault="00FA4889" w:rsidP="00FA488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A4889">
        <w:rPr>
          <w:rFonts w:ascii="inherit" w:eastAsia="Times New Roman" w:hAnsi="inherit" w:cs="Helvetica"/>
          <w:b/>
          <w:bCs/>
          <w:color w:val="333333"/>
          <w:sz w:val="32"/>
          <w:szCs w:val="32"/>
          <w:u w:val="single"/>
          <w:lang w:eastAsia="ru-RU"/>
        </w:rPr>
        <w:t>3.1 Консервативное лечение</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i/>
          <w:iCs/>
          <w:color w:val="333333"/>
          <w:sz w:val="24"/>
          <w:szCs w:val="24"/>
          <w:lang w:eastAsia="ru-RU"/>
        </w:rPr>
        <w:t>В настоящее время не существует куративной терапии данного заболевания.</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i/>
          <w:iCs/>
          <w:color w:val="333333"/>
          <w:sz w:val="24"/>
          <w:szCs w:val="24"/>
          <w:lang w:eastAsia="ru-RU"/>
        </w:rPr>
        <w:t>Цель лечения: коррекция жизнеугрожающих морфологических дефектов, обеспечение приближенных к нормальным рост и развитие ребенка, обеспечение хорошего качества жизни пациента</w:t>
      </w:r>
    </w:p>
    <w:p w:rsidR="00FA4889" w:rsidRPr="00FA4889" w:rsidRDefault="00FA4889" w:rsidP="00FA4889">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заместительная терапия внутривенным иммуноглобулином человека нормальным в дозе 0.4-0.6 г/кг ежемесячно [1,2,3,10].</w:t>
      </w:r>
    </w:p>
    <w:p w:rsidR="00FA4889" w:rsidRPr="00FA4889" w:rsidRDefault="00FA4889" w:rsidP="00FA4889">
      <w:pPr>
        <w:shd w:val="clear" w:color="auto" w:fill="FFFFFF"/>
        <w:spacing w:after="150" w:line="240" w:lineRule="auto"/>
        <w:ind w:left="720"/>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FA4889" w:rsidRPr="00FA4889" w:rsidRDefault="00FA4889" w:rsidP="00FA4889">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антибактериальная терапия (наиболее часто используемые антибактериальные препараты: Ко-тримоксазол (Сульфаметоксазол + Триметоприм), Цефепим, Амикацин) [2,3,9]</w:t>
      </w:r>
      <w:r w:rsidRPr="00FA4889">
        <w:rPr>
          <w:rFonts w:ascii="Helvetica" w:eastAsia="Times New Roman" w:hAnsi="Helvetica" w:cs="Helvetica"/>
          <w:b/>
          <w:bCs/>
          <w:color w:val="333333"/>
          <w:sz w:val="24"/>
          <w:szCs w:val="24"/>
          <w:lang w:eastAsia="ru-RU"/>
        </w:rPr>
        <w:t>.</w:t>
      </w:r>
    </w:p>
    <w:p w:rsidR="00FA4889" w:rsidRPr="00FA4889" w:rsidRDefault="00FA4889" w:rsidP="00FA4889">
      <w:pPr>
        <w:shd w:val="clear" w:color="auto" w:fill="FFFFFF"/>
        <w:spacing w:after="150" w:line="240" w:lineRule="auto"/>
        <w:ind w:left="720"/>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FA4889" w:rsidRPr="00FA4889" w:rsidRDefault="00FA4889" w:rsidP="00FA4889">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противогрибковая терапия (флюконазол) [2,3,9]</w:t>
      </w:r>
      <w:r w:rsidRPr="00FA4889">
        <w:rPr>
          <w:rFonts w:ascii="Helvetica" w:eastAsia="Times New Roman" w:hAnsi="Helvetica" w:cs="Helvetica"/>
          <w:b/>
          <w:bCs/>
          <w:color w:val="333333"/>
          <w:sz w:val="24"/>
          <w:szCs w:val="24"/>
          <w:lang w:eastAsia="ru-RU"/>
        </w:rPr>
        <w:t>.</w:t>
      </w:r>
    </w:p>
    <w:p w:rsidR="00FA4889" w:rsidRPr="00FA4889" w:rsidRDefault="00FA4889" w:rsidP="00FA4889">
      <w:pPr>
        <w:shd w:val="clear" w:color="auto" w:fill="FFFFFF"/>
        <w:spacing w:after="150" w:line="240" w:lineRule="auto"/>
        <w:ind w:left="720"/>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FA4889" w:rsidRPr="00FA4889" w:rsidRDefault="00FA4889" w:rsidP="00FA4889">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электролитная поддержка (Кальция хлорид) [3,9]</w:t>
      </w:r>
      <w:r w:rsidRPr="00FA4889">
        <w:rPr>
          <w:rFonts w:ascii="Helvetica" w:eastAsia="Times New Roman" w:hAnsi="Helvetica" w:cs="Helvetica"/>
          <w:b/>
          <w:bCs/>
          <w:color w:val="333333"/>
          <w:sz w:val="24"/>
          <w:szCs w:val="24"/>
          <w:lang w:eastAsia="ru-RU"/>
        </w:rPr>
        <w:t>.</w:t>
      </w:r>
    </w:p>
    <w:p w:rsidR="00FA4889" w:rsidRPr="00FA4889" w:rsidRDefault="00FA4889" w:rsidP="00FA4889">
      <w:pPr>
        <w:shd w:val="clear" w:color="auto" w:fill="FFFFFF"/>
        <w:spacing w:after="150" w:line="240" w:lineRule="auto"/>
        <w:ind w:left="720"/>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2)</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Комментарии:</w:t>
      </w:r>
      <w:r w:rsidRPr="00FA4889">
        <w:rPr>
          <w:rFonts w:ascii="Helvetica" w:eastAsia="Times New Roman" w:hAnsi="Helvetica" w:cs="Helvetica"/>
          <w:color w:val="333333"/>
          <w:sz w:val="24"/>
          <w:szCs w:val="24"/>
          <w:lang w:eastAsia="ru-RU"/>
        </w:rPr>
        <w:t> </w:t>
      </w:r>
      <w:r w:rsidRPr="00FA4889">
        <w:rPr>
          <w:rFonts w:ascii="Helvetica" w:eastAsia="Times New Roman" w:hAnsi="Helvetica" w:cs="Helvetica"/>
          <w:i/>
          <w:iCs/>
          <w:color w:val="333333"/>
          <w:sz w:val="24"/>
          <w:szCs w:val="24"/>
          <w:lang w:eastAsia="ru-RU"/>
        </w:rPr>
        <w:t xml:space="preserve">При возникновении аутоиммунных осложнений терапия их проводится по соответствующим протоколам. Пациенты с иммунологическими отклонениями получают терапию в зависимости от выраженности иммунного дефекта. Если дефект незначительный или умеренный, специфическая терапия не проводится, однако проводится контроль инфекционной заболеваемости. При значительном дефекте (выраженной Т-лимфопении и выраженном снижении мигогенного ответа) назначается профилактическая терапия триметоприм/сульфаметоксазолом. </w:t>
      </w:r>
      <w:r w:rsidRPr="00FA4889">
        <w:rPr>
          <w:rFonts w:ascii="Helvetica" w:eastAsia="Times New Roman" w:hAnsi="Helvetica" w:cs="Helvetica"/>
          <w:i/>
          <w:iCs/>
          <w:color w:val="333333"/>
          <w:sz w:val="24"/>
          <w:szCs w:val="24"/>
          <w:lang w:eastAsia="ru-RU"/>
        </w:rPr>
        <w:lastRenderedPageBreak/>
        <w:t>При снижении гуморального иммунитета проводится регулярная заместительная терапия ВВИГ. При наличии выраженного Т-клеточного дефекта прогноз крайне неблагоприятный, высок риск летального исхода.</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i/>
          <w:iCs/>
          <w:color w:val="333333"/>
          <w:sz w:val="24"/>
          <w:szCs w:val="24"/>
          <w:lang w:eastAsia="ru-RU"/>
        </w:rPr>
        <w:t>У части детей метаболические и электролитные нарушения, преимущественно в виде гипокальциемии, вплоть до гипокальциемических судорог, требующие высоких доз введения кальция, в некоторых случаях витамина D [1,2,3,9,10].</w:t>
      </w:r>
    </w:p>
    <w:p w:rsidR="00FA4889" w:rsidRPr="00FA4889" w:rsidRDefault="00FA4889" w:rsidP="00FA488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A4889">
        <w:rPr>
          <w:rFonts w:ascii="inherit" w:eastAsia="Times New Roman" w:hAnsi="inherit" w:cs="Helvetica"/>
          <w:b/>
          <w:bCs/>
          <w:color w:val="333333"/>
          <w:sz w:val="32"/>
          <w:szCs w:val="32"/>
          <w:u w:val="single"/>
          <w:lang w:eastAsia="ru-RU"/>
        </w:rPr>
        <w:t>3.2 Хирургическое лечение</w:t>
      </w:r>
    </w:p>
    <w:p w:rsidR="00FA4889" w:rsidRPr="00FA4889" w:rsidRDefault="00FA4889" w:rsidP="00FA4889">
      <w:pPr>
        <w:numPr>
          <w:ilvl w:val="0"/>
          <w:numId w:val="27"/>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коррекция пороков сердца [1,3,9,18,20].</w:t>
      </w:r>
    </w:p>
    <w:p w:rsidR="00FA4889" w:rsidRPr="00FA4889" w:rsidRDefault="00FA4889" w:rsidP="00FA4889">
      <w:pPr>
        <w:shd w:val="clear" w:color="auto" w:fill="FFFFFF"/>
        <w:spacing w:after="150" w:line="240" w:lineRule="auto"/>
        <w:ind w:left="720"/>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Комментарии:</w:t>
      </w:r>
      <w:r w:rsidRPr="00FA4889">
        <w:rPr>
          <w:rFonts w:ascii="Helvetica" w:eastAsia="Times New Roman" w:hAnsi="Helvetica" w:cs="Helvetica"/>
          <w:color w:val="333333"/>
          <w:sz w:val="24"/>
          <w:szCs w:val="24"/>
          <w:lang w:eastAsia="ru-RU"/>
        </w:rPr>
        <w:t> </w:t>
      </w:r>
      <w:r w:rsidRPr="00FA4889">
        <w:rPr>
          <w:rFonts w:ascii="Helvetica" w:eastAsia="Times New Roman" w:hAnsi="Helvetica" w:cs="Helvetica"/>
          <w:i/>
          <w:iCs/>
          <w:color w:val="333333"/>
          <w:sz w:val="24"/>
          <w:szCs w:val="24"/>
          <w:lang w:eastAsia="ru-RU"/>
        </w:rPr>
        <w:t>Как правило, самый тяжелый период жизни для детей с синдромом Ди Джорджи обусловлен степенью поражения сердечно-сосудистой системы. Коррекция пороков сердца проводится по соответствующим клиническим рекомендациям [9,18].</w:t>
      </w:r>
    </w:p>
    <w:p w:rsidR="00FA4889" w:rsidRPr="00FA4889" w:rsidRDefault="00FA4889" w:rsidP="00FA4889">
      <w:pPr>
        <w:numPr>
          <w:ilvl w:val="0"/>
          <w:numId w:val="28"/>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коррекция пороков лицевого скелета [1,3,9,19,20].</w:t>
      </w:r>
    </w:p>
    <w:p w:rsidR="00FA4889" w:rsidRPr="00FA4889" w:rsidRDefault="00FA4889" w:rsidP="00FA4889">
      <w:pPr>
        <w:shd w:val="clear" w:color="auto" w:fill="FFFFFF"/>
        <w:spacing w:after="150" w:line="240" w:lineRule="auto"/>
        <w:ind w:left="720"/>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Комментарии:</w:t>
      </w:r>
      <w:r w:rsidRPr="00FA4889">
        <w:rPr>
          <w:rFonts w:ascii="Helvetica" w:eastAsia="Times New Roman" w:hAnsi="Helvetica" w:cs="Helvetica"/>
          <w:color w:val="333333"/>
          <w:sz w:val="24"/>
          <w:szCs w:val="24"/>
          <w:lang w:eastAsia="ru-RU"/>
        </w:rPr>
        <w:t> </w:t>
      </w:r>
      <w:r w:rsidRPr="00FA4889">
        <w:rPr>
          <w:rFonts w:ascii="Helvetica" w:eastAsia="Times New Roman" w:hAnsi="Helvetica" w:cs="Helvetica"/>
          <w:i/>
          <w:iCs/>
          <w:color w:val="333333"/>
          <w:sz w:val="24"/>
          <w:szCs w:val="24"/>
          <w:lang w:eastAsia="ru-RU"/>
        </w:rPr>
        <w:t>Наиболее часто коррекции подлежит расщепление нёба и верхней губы. Коррекция пороков лицевого скелета проводится по соответствующим клиническим рекомендациям [19,20].</w:t>
      </w:r>
    </w:p>
    <w:p w:rsidR="00FA4889" w:rsidRPr="00FA4889" w:rsidRDefault="00FA4889" w:rsidP="00FA488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A4889">
        <w:rPr>
          <w:rFonts w:ascii="inherit" w:eastAsia="Times New Roman" w:hAnsi="inherit" w:cs="Helvetica"/>
          <w:b/>
          <w:bCs/>
          <w:color w:val="333333"/>
          <w:sz w:val="32"/>
          <w:szCs w:val="32"/>
          <w:u w:val="single"/>
          <w:lang w:eastAsia="ru-RU"/>
        </w:rPr>
        <w:t>3.3 Иное лечение</w:t>
      </w:r>
    </w:p>
    <w:p w:rsidR="00FA4889" w:rsidRPr="00FA4889" w:rsidRDefault="00FA4889" w:rsidP="00FA4889">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Проведение ТГСК при синдроме делеции 22-й хромосомы не рекомендовано [2,10]. </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FA4889" w:rsidRPr="00FA4889" w:rsidRDefault="00FA4889" w:rsidP="00FA4889">
      <w:pPr>
        <w:numPr>
          <w:ilvl w:val="0"/>
          <w:numId w:val="3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У пациентов раннего возраста при проблемах с кормлением и глотанием вследствие велофарингеальгой недостаточности рекомендуется установление гастростомы [9].</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3)</w:t>
      </w:r>
    </w:p>
    <w:p w:rsidR="00FA4889" w:rsidRPr="00FA4889" w:rsidRDefault="00FA4889" w:rsidP="00FA4889">
      <w:pPr>
        <w:numPr>
          <w:ilvl w:val="0"/>
          <w:numId w:val="3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Рекомендуется лечение у невролога, логопеда, психиатра [10,15].</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Уровень убедительности рекомендаций С (уровень достоверности доказательств – 3)</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Комментарии:</w:t>
      </w:r>
      <w:r w:rsidRPr="00FA4889">
        <w:rPr>
          <w:rFonts w:ascii="Helvetica" w:eastAsia="Times New Roman" w:hAnsi="Helvetica" w:cs="Helvetica"/>
          <w:color w:val="333333"/>
          <w:sz w:val="24"/>
          <w:szCs w:val="24"/>
          <w:lang w:eastAsia="ru-RU"/>
        </w:rPr>
        <w:t> </w:t>
      </w:r>
      <w:r w:rsidRPr="00FA4889">
        <w:rPr>
          <w:rFonts w:ascii="Helvetica" w:eastAsia="Times New Roman" w:hAnsi="Helvetica" w:cs="Helvetica"/>
          <w:i/>
          <w:iCs/>
          <w:color w:val="333333"/>
          <w:sz w:val="24"/>
          <w:szCs w:val="24"/>
          <w:lang w:eastAsia="ru-RU"/>
        </w:rPr>
        <w:t xml:space="preserve">При задержке развития речи пациентам дошкольного возраста рекомендована помощь невролога, логопеда. Главной проблемой в школьном возрасте являются проблемы с обучением и поведением. Синдром дефицита внимания, гиперактивность, аутистические заболевания, фобии встречаются чаще, чем в общей популяции детей. Большинство детей консультируются у </w:t>
      </w:r>
      <w:r w:rsidRPr="00FA4889">
        <w:rPr>
          <w:rFonts w:ascii="Helvetica" w:eastAsia="Times New Roman" w:hAnsi="Helvetica" w:cs="Helvetica"/>
          <w:i/>
          <w:iCs/>
          <w:color w:val="333333"/>
          <w:sz w:val="24"/>
          <w:szCs w:val="24"/>
          <w:lang w:eastAsia="ru-RU"/>
        </w:rPr>
        <w:lastRenderedPageBreak/>
        <w:t>неврологов, психологов и психиатров. Взрослые пациенты наблюдаются с диагнозами «психоз» или «шизофрения», «депрессия», «биполярный синдром» [10,15].</w:t>
      </w:r>
    </w:p>
    <w:p w:rsidR="00FA4889" w:rsidRPr="00FA4889" w:rsidRDefault="00FA4889" w:rsidP="00FA488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A4889">
        <w:rPr>
          <w:rFonts w:ascii="inherit" w:eastAsia="Times New Roman" w:hAnsi="inherit" w:cs="Helvetica"/>
          <w:b/>
          <w:bCs/>
          <w:color w:val="444444"/>
          <w:sz w:val="36"/>
          <w:szCs w:val="36"/>
          <w:lang w:eastAsia="ru-RU"/>
        </w:rPr>
        <w:t>4. Реабилитация</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i/>
          <w:iCs/>
          <w:color w:val="333333"/>
          <w:sz w:val="24"/>
          <w:szCs w:val="24"/>
          <w:lang w:eastAsia="ru-RU"/>
        </w:rPr>
        <w:t>Специфические реабилитационные мероприятия не применяются.</w:t>
      </w:r>
    </w:p>
    <w:p w:rsidR="00FA4889" w:rsidRPr="00FA4889" w:rsidRDefault="00FA4889" w:rsidP="00FA488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A4889">
        <w:rPr>
          <w:rFonts w:ascii="inherit" w:eastAsia="Times New Roman" w:hAnsi="inherit" w:cs="Helvetica"/>
          <w:b/>
          <w:bCs/>
          <w:color w:val="444444"/>
          <w:sz w:val="36"/>
          <w:szCs w:val="36"/>
          <w:lang w:eastAsia="ru-RU"/>
        </w:rPr>
        <w:t>5. Профилактика и диспансерное наблюдение</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i/>
          <w:iCs/>
          <w:color w:val="333333"/>
          <w:sz w:val="24"/>
          <w:szCs w:val="24"/>
          <w:lang w:eastAsia="ru-RU"/>
        </w:rPr>
        <w:t>Специфическая профилактика данного заболевания отсутствует. При семейных случаях СДД проведение семейного консультирования и пренатальной диагностики предотвращает рождение других детей с данным заболеванием в семье с СДД [21]. Пренатальная диагностика рекомендована, если один из родителей имеет делецию 22 хромосомы, так как в 50% случаев патология наследуется с более выраженной тяжестью. Проводится FISH-диагностика при выполнении амниоцентеза [1,9,20].</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i/>
          <w:iCs/>
          <w:color w:val="333333"/>
          <w:sz w:val="24"/>
          <w:szCs w:val="24"/>
          <w:lang w:eastAsia="ru-RU"/>
        </w:rPr>
        <w:t>Частота посещения того или иного специалиста и частота анализов зависит от клинических проявлений данного синдрома. Рекомендована годовая диспансеризация для контроля инфекционной заболевае</w:t>
      </w:r>
      <w:r w:rsidRPr="00FA4889">
        <w:rPr>
          <w:rFonts w:ascii="Helvetica" w:eastAsia="Times New Roman" w:hAnsi="Helvetica" w:cs="Helvetica"/>
          <w:i/>
          <w:iCs/>
          <w:color w:val="333333"/>
          <w:sz w:val="24"/>
          <w:szCs w:val="24"/>
          <w:lang w:eastAsia="ru-RU"/>
        </w:rPr>
        <w:softHyphen/>
        <w:t>мости, иммунологических показателей и функций основных систем организма.</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i/>
          <w:iCs/>
          <w:color w:val="333333"/>
          <w:sz w:val="24"/>
          <w:szCs w:val="24"/>
          <w:lang w:eastAsia="ru-RU"/>
        </w:rPr>
        <w:t>Пациенты не должны вакцинироваться живыми вакцинами (корь, паротит, краснуха, ветряная оспа, живая полиомиелитная вакцина) [10,16]. Большинство пациентов наблюдаются психологами и психиатрами в течение всей жизни в связи с поведенческими проблемами различного характера [15].</w:t>
      </w:r>
    </w:p>
    <w:p w:rsidR="00FA4889" w:rsidRPr="00FA4889" w:rsidRDefault="00FA4889" w:rsidP="00FA488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A4889">
        <w:rPr>
          <w:rFonts w:ascii="inherit" w:eastAsia="Times New Roman" w:hAnsi="inherit" w:cs="Helvetica"/>
          <w:b/>
          <w:bCs/>
          <w:color w:val="444444"/>
          <w:sz w:val="36"/>
          <w:szCs w:val="36"/>
          <w:lang w:eastAsia="ru-RU"/>
        </w:rPr>
        <w:t>6. Дополнительная информация, влияющая на течение и исход заболевания</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i/>
          <w:iCs/>
          <w:color w:val="333333"/>
          <w:sz w:val="24"/>
          <w:szCs w:val="24"/>
          <w:lang w:eastAsia="ru-RU"/>
        </w:rPr>
        <w:t>Предупреждение осложнений, характерных для разного возрастного периода, и адекватная терапия обеспечивают лучший прогноз пациенту.</w:t>
      </w:r>
    </w:p>
    <w:p w:rsidR="00FA4889" w:rsidRPr="00FA4889" w:rsidRDefault="00FA4889" w:rsidP="00FA488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A4889">
        <w:rPr>
          <w:rFonts w:ascii="inherit" w:eastAsia="Times New Roman" w:hAnsi="inherit" w:cs="Helvetica"/>
          <w:color w:val="333333"/>
          <w:sz w:val="32"/>
          <w:szCs w:val="32"/>
          <w:lang w:eastAsia="ru-RU"/>
        </w:rPr>
        <w:t>6.1 Отношение к рождению детей</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i/>
          <w:iCs/>
          <w:color w:val="333333"/>
          <w:sz w:val="24"/>
          <w:szCs w:val="24"/>
          <w:lang w:eastAsia="ru-RU"/>
        </w:rPr>
        <w:t>Известным фактором риска является наличие одного из родителей с синдромом делеции 22-й хромосомы, так как наследование является аутосомно-доминантным. Следовательно, 50% вероятности того, что патология унаследуется. При этом обнаружено, что у потомства синдром более выражен, чем у родителя. Большинство случаев с синдромом делеции 22-й хромосомы носит спорадический характер, и факторы риска неизвестны [1,4,7,8].</w:t>
      </w:r>
    </w:p>
    <w:p w:rsidR="00FA4889" w:rsidRPr="00FA4889" w:rsidRDefault="00FA4889" w:rsidP="00FA4889">
      <w:pPr>
        <w:shd w:val="clear" w:color="auto" w:fill="FFFFFF"/>
        <w:spacing w:before="300" w:line="240" w:lineRule="auto"/>
        <w:outlineLvl w:val="1"/>
        <w:rPr>
          <w:rFonts w:ascii="inherit" w:eastAsia="Times New Roman" w:hAnsi="inherit" w:cs="Helvetica"/>
          <w:b/>
          <w:bCs/>
          <w:color w:val="444444"/>
          <w:sz w:val="36"/>
          <w:szCs w:val="36"/>
          <w:lang w:eastAsia="ru-RU"/>
        </w:rPr>
      </w:pPr>
      <w:r w:rsidRPr="00FA4889">
        <w:rPr>
          <w:rFonts w:ascii="inherit" w:eastAsia="Times New Roman" w:hAnsi="inherit" w:cs="Helvetica"/>
          <w:b/>
          <w:bCs/>
          <w:color w:val="444444"/>
          <w:sz w:val="36"/>
          <w:szCs w:val="36"/>
          <w:lang w:eastAsia="ru-RU"/>
        </w:rPr>
        <w:t>Критерии оценки качества медицинской помощи</w:t>
      </w:r>
    </w:p>
    <w:tbl>
      <w:tblPr>
        <w:tblW w:w="0" w:type="auto"/>
        <w:tblCellMar>
          <w:top w:w="15" w:type="dxa"/>
          <w:left w:w="15" w:type="dxa"/>
          <w:bottom w:w="15" w:type="dxa"/>
          <w:right w:w="15" w:type="dxa"/>
        </w:tblCellMar>
        <w:tblLook w:val="04A0" w:firstRow="1" w:lastRow="0" w:firstColumn="1" w:lastColumn="0" w:noHBand="0" w:noVBand="1"/>
      </w:tblPr>
      <w:tblGrid>
        <w:gridCol w:w="8345"/>
        <w:gridCol w:w="1310"/>
      </w:tblGrid>
      <w:tr w:rsidR="00FA4889" w:rsidRPr="00FA4889" w:rsidTr="00FA4889">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b/>
                <w:bCs/>
                <w:sz w:val="24"/>
                <w:szCs w:val="24"/>
                <w:lang w:eastAsia="ru-RU"/>
              </w:rPr>
              <w:t>Критерий качества</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b/>
                <w:bCs/>
                <w:sz w:val="24"/>
                <w:szCs w:val="24"/>
                <w:lang w:eastAsia="ru-RU"/>
              </w:rPr>
              <w:t>Значение</w:t>
            </w:r>
          </w:p>
        </w:tc>
      </w:tr>
      <w:tr w:rsidR="00FA4889" w:rsidRPr="00FA4889" w:rsidTr="00FA4889">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 xml:space="preserve">Выполненаы клинический анализ крови с определением числа тромбоцитов, биохимический анализ крови, КЩС, клинический анализ мочи, </w:t>
            </w:r>
            <w:r w:rsidRPr="00FA4889">
              <w:rPr>
                <w:rFonts w:ascii="Times New Roman" w:eastAsia="Times New Roman" w:hAnsi="Times New Roman" w:cs="Times New Roman"/>
                <w:sz w:val="24"/>
                <w:szCs w:val="24"/>
                <w:lang w:eastAsia="ru-RU"/>
              </w:rPr>
              <w:lastRenderedPageBreak/>
              <w:t>коагулограмма, определение инфицированности ВИЧ, вирусами гепатита В и Си ЭКГ, ЭхоКГ, УЗИ брюшной полости, рентгенография грудной клетки</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lastRenderedPageBreak/>
              <w:t>Да\нет</w:t>
            </w:r>
          </w:p>
        </w:tc>
      </w:tr>
      <w:tr w:rsidR="00FA4889" w:rsidRPr="00FA4889" w:rsidTr="00FA4889">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lastRenderedPageBreak/>
              <w:t>Выполнено определение иммуноглобулинов сыворотки крови, специфических поствакцинальных антител, фенотипирование лимфоцитов крови, TREC</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Да\нет</w:t>
            </w:r>
          </w:p>
        </w:tc>
      </w:tr>
      <w:tr w:rsidR="00FA4889" w:rsidRPr="00FA4889" w:rsidTr="00FA4889">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Выполнено компьютерная томография легких и органов брюшной полости, челюстно-лицевого скелета</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Да\нет</w:t>
            </w:r>
          </w:p>
        </w:tc>
      </w:tr>
      <w:tr w:rsidR="00FA4889" w:rsidRPr="00FA4889" w:rsidTr="00FA4889">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Выполнено вирусологическое исследование для исключения вирусного поражения органов с помощью метода ПЦР</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Да\нет</w:t>
            </w:r>
          </w:p>
        </w:tc>
      </w:tr>
      <w:tr w:rsidR="00FA4889" w:rsidRPr="00FA4889" w:rsidTr="00FA4889">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Выполнено выявление делеции участка 22 хромосомы методом FISH или другими цитогенетическими методами</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Да\нет</w:t>
            </w:r>
          </w:p>
        </w:tc>
      </w:tr>
      <w:tr w:rsidR="00FA4889" w:rsidRPr="00FA4889" w:rsidTr="00FA4889">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Выполнена  консультация врача-кардиохирурга и челюстно-лицевого хирурга для решения вопроса о необходимости и объеме хирургической коррекции дефекта(ов) (при наличии порока сердца и аномалий лицевого скелета)</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Да\нет</w:t>
            </w:r>
          </w:p>
        </w:tc>
      </w:tr>
      <w:tr w:rsidR="00FA4889" w:rsidRPr="00FA4889" w:rsidTr="00FA4889">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Проведена заместительная терапия препаратами внутривенных иммуноглобулинов (в случае выявления снижения уровня иммуноглобулина G и\или нарушения специфического антителообразования)</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Да\нет</w:t>
            </w:r>
          </w:p>
        </w:tc>
      </w:tr>
    </w:tbl>
    <w:p w:rsidR="00FA4889" w:rsidRPr="00FA4889" w:rsidRDefault="00FA4889" w:rsidP="00FA488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A4889">
        <w:rPr>
          <w:rFonts w:ascii="inherit" w:eastAsia="Times New Roman" w:hAnsi="inherit" w:cs="Helvetica"/>
          <w:b/>
          <w:bCs/>
          <w:color w:val="444444"/>
          <w:sz w:val="36"/>
          <w:szCs w:val="36"/>
          <w:lang w:eastAsia="ru-RU"/>
        </w:rPr>
        <w:t>Список литературы</w:t>
      </w:r>
    </w:p>
    <w:p w:rsidR="00FA4889" w:rsidRPr="00FA4889" w:rsidRDefault="00FA4889" w:rsidP="00FA4889">
      <w:pPr>
        <w:numPr>
          <w:ilvl w:val="0"/>
          <w:numId w:val="32"/>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Детская гематология/ Под ред: А.Г. Румянцева, А.А. Масчана, Е.В. Жуковской. Авторы :Айзенберг В.Л., Балашов Д.Н., Биккулова Д.Ш., Вдовин В.В., Володин Н.Н., Демихов В.Г., Демихова Е.В., Евдокимова М.А., Жарков П.А., Журина, О.Н., Зозуля Н.И., Инякова Н.В., Карачунский А.И., Клипинина Н.В., Копылов К.Г., Кузминова Ж.А., Кумирова Э.В., Кумскова М.А., Лазарев В.В., Луговская С.А., Лукина Е.А., Лунякова Е.А., Масчан М.А., Морщакова Е.Ф., Мякова Н.В., Новичкова Г.А., Орлов А.Б., Панкратьева Л.Л., Полевиченко Е.В., Птушкин В.В., Румянцева Ю.В., Самочатова Е.В., Свирин П.В., Сигарева И.А., Скворцова Ю.В., Скобин В.Б., Сметанина Н.С., Спиридонова Е.А., Стефаненко Е.А., Тарасова И.С., Хаин А.Е., Хамин И.Г., Харькин А.В., Хачатрян Л.А., Цветаева Н.В., Цыпин Л.Е., Чернов В.М., Щербина А.Ю., Щукин В.В.// Москва. Издательская группа « ГЭОТАР- Медиа» 2015 г. С. - 656.</w:t>
      </w:r>
    </w:p>
    <w:p w:rsidR="00FA4889" w:rsidRPr="00FA4889" w:rsidRDefault="00FA4889" w:rsidP="00FA4889">
      <w:pPr>
        <w:numPr>
          <w:ilvl w:val="0"/>
          <w:numId w:val="32"/>
        </w:numPr>
        <w:shd w:val="clear" w:color="auto" w:fill="FFFFFF"/>
        <w:spacing w:after="150" w:line="240" w:lineRule="auto"/>
        <w:rPr>
          <w:rFonts w:ascii="Helvetica" w:eastAsia="Times New Roman" w:hAnsi="Helvetica" w:cs="Helvetica"/>
          <w:color w:val="333333"/>
          <w:sz w:val="24"/>
          <w:szCs w:val="24"/>
          <w:lang w:val="en-US" w:eastAsia="ru-RU"/>
        </w:rPr>
      </w:pPr>
      <w:r w:rsidRPr="00FA4889">
        <w:rPr>
          <w:rFonts w:ascii="Helvetica" w:eastAsia="Times New Roman" w:hAnsi="Helvetica" w:cs="Helvetica"/>
          <w:color w:val="333333"/>
          <w:sz w:val="24"/>
          <w:szCs w:val="24"/>
          <w:lang w:val="en-US" w:eastAsia="ru-RU"/>
        </w:rPr>
        <w:t>McDonald-McGinn D M, Sullivan K E. Chromosome 22q11.2 deletion syndrome (DiGeorge syndrome/velocardiofacial syndrome) Medicine (Baltimore) 2011;90(1):1–18.</w:t>
      </w:r>
    </w:p>
    <w:p w:rsidR="00FA4889" w:rsidRPr="00FA4889" w:rsidRDefault="00FA4889" w:rsidP="00FA4889">
      <w:pPr>
        <w:numPr>
          <w:ilvl w:val="0"/>
          <w:numId w:val="32"/>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val="en-US" w:eastAsia="ru-RU"/>
        </w:rPr>
        <w:t xml:space="preserve">Maggadottir SM, Sullivan KE. The diverse clinical features of chromosome 22q11.2 deletion syndrome (DiGeorge syndrome). </w:t>
      </w:r>
      <w:r w:rsidRPr="00FA4889">
        <w:rPr>
          <w:rFonts w:ascii="Helvetica" w:eastAsia="Times New Roman" w:hAnsi="Helvetica" w:cs="Helvetica"/>
          <w:color w:val="333333"/>
          <w:sz w:val="24"/>
          <w:szCs w:val="24"/>
          <w:lang w:eastAsia="ru-RU"/>
        </w:rPr>
        <w:t>J Allergy Clin Immunol Pract. 2013 Nov-Dec;1(6):589-94.</w:t>
      </w:r>
    </w:p>
    <w:p w:rsidR="00FA4889" w:rsidRPr="00FA4889" w:rsidRDefault="00FA4889" w:rsidP="00FA4889">
      <w:pPr>
        <w:numPr>
          <w:ilvl w:val="0"/>
          <w:numId w:val="32"/>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val="en-US" w:eastAsia="ru-RU"/>
        </w:rPr>
        <w:t xml:space="preserve">Lindsay EA. Chromosomal microdeletions: dissecting del22q11 syndrome. </w:t>
      </w:r>
      <w:r w:rsidRPr="00FA4889">
        <w:rPr>
          <w:rFonts w:ascii="Helvetica" w:eastAsia="Times New Roman" w:hAnsi="Helvetica" w:cs="Helvetica"/>
          <w:color w:val="333333"/>
          <w:sz w:val="24"/>
          <w:szCs w:val="24"/>
          <w:lang w:eastAsia="ru-RU"/>
        </w:rPr>
        <w:t>Nat Rev Genet. 2001 Nov;2(11):858-68.</w:t>
      </w:r>
    </w:p>
    <w:p w:rsidR="00FA4889" w:rsidRPr="00FA4889" w:rsidRDefault="00FA4889" w:rsidP="00FA4889">
      <w:pPr>
        <w:numPr>
          <w:ilvl w:val="0"/>
          <w:numId w:val="32"/>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val="en-US" w:eastAsia="ru-RU"/>
        </w:rPr>
        <w:lastRenderedPageBreak/>
        <w:t xml:space="preserve">Oh A K, Workman L A, Wong G B. Clinical correlation of chromosome 22q11.2 fluorescent in situ hybridization analysis and velocardiofacial syndrome. </w:t>
      </w:r>
      <w:r w:rsidRPr="00FA4889">
        <w:rPr>
          <w:rFonts w:ascii="Helvetica" w:eastAsia="Times New Roman" w:hAnsi="Helvetica" w:cs="Helvetica"/>
          <w:color w:val="333333"/>
          <w:sz w:val="24"/>
          <w:szCs w:val="24"/>
          <w:lang w:eastAsia="ru-RU"/>
        </w:rPr>
        <w:t>Cleft Palate Craniofac J. 2007;44(1):62–66.</w:t>
      </w:r>
    </w:p>
    <w:p w:rsidR="00FA4889" w:rsidRPr="00FA4889" w:rsidRDefault="00FA4889" w:rsidP="00FA4889">
      <w:pPr>
        <w:numPr>
          <w:ilvl w:val="0"/>
          <w:numId w:val="32"/>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val="en-US" w:eastAsia="ru-RU"/>
        </w:rPr>
        <w:t xml:space="preserve">Monteiro F P, Vieira T P, Sgardioli I C. et al. </w:t>
      </w:r>
      <w:r w:rsidRPr="00FA4889">
        <w:rPr>
          <w:rFonts w:ascii="Helvetica" w:eastAsia="Times New Roman" w:hAnsi="Helvetica" w:cs="Helvetica"/>
          <w:color w:val="333333"/>
          <w:sz w:val="24"/>
          <w:szCs w:val="24"/>
          <w:lang w:eastAsia="ru-RU"/>
        </w:rPr>
        <w:t>Defining new guidelines for screening the 22q11.2 deletion based on a clinical and dysmorphologic evaluation of 194 individuals and review of the literature. Eur J Pediatr. 2013;172(7):927–945.</w:t>
      </w:r>
    </w:p>
    <w:p w:rsidR="00FA4889" w:rsidRPr="00FA4889" w:rsidRDefault="00FA4889" w:rsidP="00FA4889">
      <w:pPr>
        <w:numPr>
          <w:ilvl w:val="0"/>
          <w:numId w:val="32"/>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Zweier C, Sticht H, Aydin-Yaylag?l I, Campbell C E, Rauch A. Human TBX1 missense mutations cause gain of function resulting in the same phenotype as 22q11.2 deletions. Am J Hum Genet. 2007;80(3):510–517.</w:t>
      </w:r>
    </w:p>
    <w:p w:rsidR="00FA4889" w:rsidRPr="00FA4889" w:rsidRDefault="00FA4889" w:rsidP="00FA4889">
      <w:pPr>
        <w:numPr>
          <w:ilvl w:val="0"/>
          <w:numId w:val="32"/>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Miller D T, Adam M P, Aradhya S. et al. Consensus statement: chromosomal microarray is a first-tier clinical diagnostic test for individuals with developmental disabilities or congenital anomalies. Am J Hum Genet. 2010;86(5):749–764.</w:t>
      </w:r>
    </w:p>
    <w:p w:rsidR="00FA4889" w:rsidRPr="00FA4889" w:rsidRDefault="00FA4889" w:rsidP="00FA4889">
      <w:pPr>
        <w:numPr>
          <w:ilvl w:val="0"/>
          <w:numId w:val="32"/>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Davies EG. Immunodeficiency in DiGeorge Syndrome and Options for Treating Cases with Complete Athymia. Front Immunol. 2013 Oct 31;4:322.</w:t>
      </w:r>
    </w:p>
    <w:p w:rsidR="00FA4889" w:rsidRPr="00FA4889" w:rsidRDefault="00FA4889" w:rsidP="00FA4889">
      <w:pPr>
        <w:numPr>
          <w:ilvl w:val="0"/>
          <w:numId w:val="32"/>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Bassett AS, McDonald-McGinn DM, Devriendt K, Digilio MC, Goldenberg P, Habel A, Marino B, Oskarsdottir S, Philip N, Sullivan K, Swillen A, Vorstman J. International 22q11.2 Deletion Syndrome Consortium. Practical guidelines for managing patients with 22q11.2 deletion syndrome. J Pediatr. 2011 Aug;159(2):332–9.e1.</w:t>
      </w:r>
    </w:p>
    <w:p w:rsidR="00FA4889" w:rsidRPr="00FA4889" w:rsidRDefault="00FA4889" w:rsidP="00FA4889">
      <w:pPr>
        <w:numPr>
          <w:ilvl w:val="0"/>
          <w:numId w:val="32"/>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Kobayashi D, Sallaam S, Humes RA. Tetralogy of Fallot with complete DiGeorge syndrome: report of a case and a review of the literature. Congenit Heart Dis. 2013 Jul-Aug;8(4):E119-26.</w:t>
      </w:r>
    </w:p>
    <w:p w:rsidR="00FA4889" w:rsidRPr="00FA4889" w:rsidRDefault="00FA4889" w:rsidP="00FA4889">
      <w:pPr>
        <w:numPr>
          <w:ilvl w:val="0"/>
          <w:numId w:val="32"/>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Chinn IK, Markert ML. Induction of tolerance to parental parathyroid grafts using allogeneic thymus tissue in patients with DiGeorge anomaly. J Allergy Clin Immunol. 2011 Jun;127(6):1351-5.</w:t>
      </w:r>
    </w:p>
    <w:p w:rsidR="00FA4889" w:rsidRPr="00FA4889" w:rsidRDefault="00FA4889" w:rsidP="00FA4889">
      <w:pPr>
        <w:numPr>
          <w:ilvl w:val="0"/>
          <w:numId w:val="32"/>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Saffra N, Reinherz B. Keratoconus in an adult with 22q11.2 deletion syndrome. BMJ Case Rep. 2015 Jan 16;2015. pii: bcr2014203737.</w:t>
      </w:r>
    </w:p>
    <w:p w:rsidR="00FA4889" w:rsidRPr="00FA4889" w:rsidRDefault="00FA4889" w:rsidP="00FA4889">
      <w:pPr>
        <w:numPr>
          <w:ilvl w:val="0"/>
          <w:numId w:val="32"/>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Damlaj M, S?guin C. Refractory autoimmune hemolytic anemia in a patient with DiGeorge syndrome treated successfully with plasma exchange: a case report and review of the literature. Int J Hematol. 2014 Nov;100(5):494-7.</w:t>
      </w:r>
    </w:p>
    <w:p w:rsidR="00FA4889" w:rsidRPr="00FA4889" w:rsidRDefault="00FA4889" w:rsidP="00FA4889">
      <w:pPr>
        <w:numPr>
          <w:ilvl w:val="0"/>
          <w:numId w:val="32"/>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Baker KD, Skuse DH. Adolescents and young adults with 22q11 deletion syndrome: psychopathology in an at-risk group. Br J Psychiatry. 2005;186:115–20.</w:t>
      </w:r>
    </w:p>
    <w:p w:rsidR="00FA4889" w:rsidRPr="00FA4889" w:rsidRDefault="00FA4889" w:rsidP="00FA4889">
      <w:pPr>
        <w:numPr>
          <w:ilvl w:val="0"/>
          <w:numId w:val="32"/>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Hac?hamdio?lu B, Hac?hamdio?lu D, Delil K. 22q11 deletion syndrome: current perspective. Appl Clin Genet. 2015 May 18;8:123-32.</w:t>
      </w:r>
    </w:p>
    <w:p w:rsidR="00FA4889" w:rsidRPr="00FA4889" w:rsidRDefault="00FA4889" w:rsidP="00FA4889">
      <w:pPr>
        <w:numPr>
          <w:ilvl w:val="0"/>
          <w:numId w:val="32"/>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Sullivan KE, Jawad AF, Randall P, et al. Lack of correlation between impaired T cell production, immunodeficiency, and other phenotypic features in chromosome 22q11.2 deletion syndromes. Clin Immunol Immunopathol. 1998;86(2):141–146.</w:t>
      </w:r>
    </w:p>
    <w:p w:rsidR="00FA4889" w:rsidRPr="00FA4889" w:rsidRDefault="00FA4889" w:rsidP="00FA4889">
      <w:pPr>
        <w:numPr>
          <w:ilvl w:val="0"/>
          <w:numId w:val="32"/>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Carotti A, Digilio MC, Piacentini G, Saffirio C, Di Donato RM, Marino B. Cardiac defects and results of cardiac surgery in 22q11.2 deletion syndrome. Dev Disabil Res Rev. 2008;14(1):35–42.</w:t>
      </w:r>
    </w:p>
    <w:p w:rsidR="00FA4889" w:rsidRPr="00FA4889" w:rsidRDefault="00FA4889" w:rsidP="00FA4889">
      <w:pPr>
        <w:numPr>
          <w:ilvl w:val="0"/>
          <w:numId w:val="32"/>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Leopold C, De Barros A, Cellier C, Drouin-Garraud V, Dehesdin D, Marie JP. Laryngeal abnormalities are frequent in the 22q11 deletion syndrome. Int J Pediatr Otorhinolaryngol. 2012;76(1):36–40.</w:t>
      </w:r>
    </w:p>
    <w:p w:rsidR="00FA4889" w:rsidRPr="00FA4889" w:rsidRDefault="00FA4889" w:rsidP="00FA4889">
      <w:pPr>
        <w:numPr>
          <w:ilvl w:val="0"/>
          <w:numId w:val="32"/>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lastRenderedPageBreak/>
        <w:t>Kirschner RE, Baylis AL. Surgical considerations in 22Q11.2 deletion syndrome. Clin Plast Surg. 2014;41(2):271–282.</w:t>
      </w:r>
    </w:p>
    <w:p w:rsidR="00FA4889" w:rsidRPr="00FA4889" w:rsidRDefault="00FA4889" w:rsidP="00FA4889">
      <w:pPr>
        <w:numPr>
          <w:ilvl w:val="0"/>
          <w:numId w:val="32"/>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Кузьменко Н.Б., Варламова Т.В., Мерсиянова И.В., Райкина Е.В., Бобрнина В.О., Щербина А.Ю. Молекулярно-генетическая диагностика первичных иммунодефицитных состояний. Вопросы гематологии\онкологии и иммунопатологии в педиатрии. 2016; 15(1):10-16</w:t>
      </w:r>
    </w:p>
    <w:p w:rsidR="00FA4889" w:rsidRPr="00FA4889" w:rsidRDefault="00FA4889" w:rsidP="00FA488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A4889">
        <w:rPr>
          <w:rFonts w:ascii="inherit" w:eastAsia="Times New Roman" w:hAnsi="inherit" w:cs="Helvetica"/>
          <w:b/>
          <w:bCs/>
          <w:color w:val="444444"/>
          <w:sz w:val="36"/>
          <w:szCs w:val="36"/>
          <w:lang w:eastAsia="ru-RU"/>
        </w:rPr>
        <w:t>Приложение А1. Состав рабочей группы</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Румянцев Александр Григорьевич - </w:t>
      </w:r>
      <w:r w:rsidRPr="00FA4889">
        <w:rPr>
          <w:rFonts w:ascii="Helvetica" w:eastAsia="Times New Roman" w:hAnsi="Helvetica" w:cs="Helvetica"/>
          <w:color w:val="333333"/>
          <w:sz w:val="24"/>
          <w:szCs w:val="24"/>
          <w:lang w:eastAsia="ru-RU"/>
        </w:rPr>
        <w:t>доктор медицинских наук, профессор, академик РАМН, президент Национального общества экспертов в области первичных иммунодефицитов, член Нациоанального общества детских гематологов и онкологов, член Европейского общества гематологов</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Щербина Анна Юрьевна</w:t>
      </w:r>
      <w:r w:rsidRPr="00FA4889">
        <w:rPr>
          <w:rFonts w:ascii="Helvetica" w:eastAsia="Times New Roman" w:hAnsi="Helvetica" w:cs="Helvetica"/>
          <w:color w:val="333333"/>
          <w:sz w:val="24"/>
          <w:szCs w:val="24"/>
          <w:lang w:eastAsia="ru-RU"/>
        </w:rPr>
        <w:t> — доктор медицинских наук, исполнительный директор Национального общества экспертов в области первичных иммунодефицитов, член Национального общества детских гематологов и онкологов, член Европейского общества иммунодефицитов</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Кузьменко Наталия Борисовна</w:t>
      </w:r>
      <w:r w:rsidRPr="00FA4889">
        <w:rPr>
          <w:rFonts w:ascii="Helvetica" w:eastAsia="Times New Roman" w:hAnsi="Helvetica" w:cs="Helvetica"/>
          <w:color w:val="333333"/>
          <w:sz w:val="24"/>
          <w:szCs w:val="24"/>
          <w:lang w:eastAsia="ru-RU"/>
        </w:rPr>
        <w:t> — кандидат медицинских наук, член Национального общества экспертов в области первичных иммунодефицитов, член Национального общества детских гематологов и онкологов, член Европейского общества иммунодефицитов</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Швец Олеся Васильевна</w:t>
      </w:r>
      <w:r w:rsidRPr="00FA4889">
        <w:rPr>
          <w:rFonts w:ascii="Helvetica" w:eastAsia="Times New Roman" w:hAnsi="Helvetica" w:cs="Helvetica"/>
          <w:color w:val="333333"/>
          <w:sz w:val="24"/>
          <w:szCs w:val="24"/>
          <w:lang w:eastAsia="ru-RU"/>
        </w:rPr>
        <w:t> - член Национального общества экспертов в области первичных иммунодефицитов, член Национального общества детских гематологов и онкологов, член Европейского общества иммунодефицитов</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Балашов Дмитрий Николаевич</w:t>
      </w:r>
      <w:r w:rsidRPr="00FA4889">
        <w:rPr>
          <w:rFonts w:ascii="Helvetica" w:eastAsia="Times New Roman" w:hAnsi="Helvetica" w:cs="Helvetica"/>
          <w:color w:val="333333"/>
          <w:sz w:val="24"/>
          <w:szCs w:val="24"/>
          <w:lang w:eastAsia="ru-RU"/>
        </w:rPr>
        <w:t> — доктор медицинских наук, член Национального общества экспертов в области первичных иммунодефицитов, член Национального общества детских гематологов и онкологов, член Европейского общества иммунодефицитов</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Конфликт интересов: Шербина А.Ю. </w:t>
      </w:r>
      <w:r w:rsidRPr="00FA4889">
        <w:rPr>
          <w:rFonts w:ascii="Helvetica" w:eastAsia="Times New Roman" w:hAnsi="Helvetica" w:cs="Helvetica"/>
          <w:color w:val="333333"/>
          <w:sz w:val="24"/>
          <w:szCs w:val="24"/>
          <w:lang w:eastAsia="ru-RU"/>
        </w:rPr>
        <w:t>в течение последних 5 лет осуществляла лекторскую деятельность при поддержке компаний CSL Behring, Kedrion, Biotest, РФарм, являющиеся изготовителями\дистрибьюторами препаратов внутривенных иммуноглобулинов.</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Кузьменко Н.Б в течение последних 5 лет осуществляла лекторскую деятельность при поддержке компаний CSL Behring, являющейся изготовителкм препаратов внутривенных иммуноглобулинов.</w:t>
      </w:r>
    </w:p>
    <w:p w:rsidR="00FA4889" w:rsidRPr="00FA4889" w:rsidRDefault="00FA4889" w:rsidP="00FA488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A4889">
        <w:rPr>
          <w:rFonts w:ascii="inherit" w:eastAsia="Times New Roman" w:hAnsi="inherit" w:cs="Helvetica"/>
          <w:b/>
          <w:bCs/>
          <w:color w:val="444444"/>
          <w:sz w:val="36"/>
          <w:szCs w:val="36"/>
          <w:lang w:eastAsia="ru-RU"/>
        </w:rPr>
        <w:t>Приложение А2. Методология разработки клинических рекомендаций</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Целевая аудитория данных клинических рекомендаций:</w:t>
      </w:r>
    </w:p>
    <w:p w:rsidR="00FA4889" w:rsidRPr="00FA4889" w:rsidRDefault="00FA4889" w:rsidP="00FA4889">
      <w:pPr>
        <w:numPr>
          <w:ilvl w:val="0"/>
          <w:numId w:val="33"/>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Иммунологи 14.03.09;</w:t>
      </w:r>
    </w:p>
    <w:p w:rsidR="00FA4889" w:rsidRPr="00FA4889" w:rsidRDefault="00FA4889" w:rsidP="00FA4889">
      <w:pPr>
        <w:numPr>
          <w:ilvl w:val="0"/>
          <w:numId w:val="33"/>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Педиатры 14.01.08;</w:t>
      </w:r>
    </w:p>
    <w:p w:rsidR="00FA4889" w:rsidRPr="00FA4889" w:rsidRDefault="00FA4889" w:rsidP="00FA4889">
      <w:pPr>
        <w:numPr>
          <w:ilvl w:val="0"/>
          <w:numId w:val="33"/>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Врачи общей практики 31.08.54;</w:t>
      </w:r>
    </w:p>
    <w:p w:rsidR="00FA4889" w:rsidRPr="00FA4889" w:rsidRDefault="00FA4889" w:rsidP="00FA4889">
      <w:pPr>
        <w:numPr>
          <w:ilvl w:val="0"/>
          <w:numId w:val="33"/>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Гематологи 14.01.21;</w:t>
      </w:r>
    </w:p>
    <w:p w:rsidR="00FA4889" w:rsidRPr="00FA4889" w:rsidRDefault="00FA4889" w:rsidP="00FA4889">
      <w:pPr>
        <w:numPr>
          <w:ilvl w:val="0"/>
          <w:numId w:val="33"/>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lastRenderedPageBreak/>
        <w:t>Кардиологи 14.01.05;</w:t>
      </w:r>
    </w:p>
    <w:p w:rsidR="00FA4889" w:rsidRPr="00FA4889" w:rsidRDefault="00FA4889" w:rsidP="00FA4889">
      <w:pPr>
        <w:numPr>
          <w:ilvl w:val="0"/>
          <w:numId w:val="33"/>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Неврологи 14.01.11.</w:t>
      </w:r>
    </w:p>
    <w:p w:rsidR="00FA4889" w:rsidRPr="00FA4889" w:rsidRDefault="00FA4889" w:rsidP="00FA4889">
      <w:pPr>
        <w:shd w:val="clear" w:color="auto" w:fill="FFFFFF"/>
        <w:spacing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Таблица П1</w:t>
      </w:r>
      <w:r w:rsidRPr="00FA4889">
        <w:rPr>
          <w:rFonts w:ascii="Helvetica" w:eastAsia="Times New Roman" w:hAnsi="Helvetica" w:cs="Helvetica"/>
          <w:color w:val="333333"/>
          <w:sz w:val="24"/>
          <w:szCs w:val="24"/>
          <w:lang w:eastAsia="ru-RU"/>
        </w:rPr>
        <w:t> – Уровни достоверности доказательств</w:t>
      </w:r>
    </w:p>
    <w:tbl>
      <w:tblPr>
        <w:tblW w:w="0" w:type="auto"/>
        <w:tblCellMar>
          <w:top w:w="15" w:type="dxa"/>
          <w:left w:w="15" w:type="dxa"/>
          <w:bottom w:w="15" w:type="dxa"/>
          <w:right w:w="15" w:type="dxa"/>
        </w:tblCellMar>
        <w:tblLook w:val="04A0" w:firstRow="1" w:lastRow="0" w:firstColumn="1" w:lastColumn="0" w:noHBand="0" w:noVBand="1"/>
      </w:tblPr>
      <w:tblGrid>
        <w:gridCol w:w="2225"/>
        <w:gridCol w:w="7430"/>
      </w:tblGrid>
      <w:tr w:rsidR="00FA4889" w:rsidRPr="00FA4889" w:rsidTr="00FA4889">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b/>
                <w:bCs/>
                <w:sz w:val="24"/>
                <w:szCs w:val="24"/>
                <w:lang w:eastAsia="ru-RU"/>
              </w:rPr>
              <w:t>Уровень достоверности</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b/>
                <w:bCs/>
                <w:sz w:val="24"/>
                <w:szCs w:val="24"/>
                <w:lang w:eastAsia="ru-RU"/>
              </w:rPr>
              <w:t>Источник доказательств</w:t>
            </w:r>
          </w:p>
        </w:tc>
      </w:tr>
      <w:tr w:rsidR="00FA4889" w:rsidRPr="00FA4889" w:rsidTr="00FA4889">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b/>
                <w:bCs/>
                <w:sz w:val="24"/>
                <w:szCs w:val="24"/>
                <w:lang w:eastAsia="ru-RU"/>
              </w:rPr>
              <w:t>I (1)</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Проспективные рандомизированные контролируемые исследования</w:t>
            </w:r>
          </w:p>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Достаточное количество исследований с достаточной мощностью, с участием большого количества пациентов и получением большого количества данных</w:t>
            </w:r>
          </w:p>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Крупные мета-анализы</w:t>
            </w:r>
          </w:p>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Как минимум одно хорошо организованное рандомизированное контролируемое исследование</w:t>
            </w:r>
          </w:p>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Репрезентативная выборка пациентов</w:t>
            </w:r>
          </w:p>
        </w:tc>
      </w:tr>
      <w:tr w:rsidR="00FA4889" w:rsidRPr="00FA4889" w:rsidTr="00FA4889">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b/>
                <w:bCs/>
                <w:sz w:val="24"/>
                <w:szCs w:val="24"/>
                <w:lang w:eastAsia="ru-RU"/>
              </w:rPr>
              <w:t>II (2)</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Проспективные с рандомизацией или без исследования с ограниченным количеством данных</w:t>
            </w:r>
          </w:p>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Несколько исследований с небольшим количеством пациентов</w:t>
            </w:r>
          </w:p>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Хорошо организованное проспективное исследование когорты</w:t>
            </w:r>
          </w:p>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Мета-анализы ограничены, но проведены на хорошем уровне</w:t>
            </w:r>
          </w:p>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Результаты не презентативны в отношении целевой популяции</w:t>
            </w:r>
          </w:p>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Хорошо организованные исследования «случай-контроль»</w:t>
            </w:r>
          </w:p>
        </w:tc>
      </w:tr>
      <w:tr w:rsidR="00FA4889" w:rsidRPr="00FA4889" w:rsidTr="00FA4889">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b/>
                <w:bCs/>
                <w:sz w:val="24"/>
                <w:szCs w:val="24"/>
                <w:lang w:eastAsia="ru-RU"/>
              </w:rPr>
              <w:t>III (3)</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Нерандомизированные контролируемые исследования</w:t>
            </w:r>
          </w:p>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Исследования с недостаточным контролем</w:t>
            </w:r>
          </w:p>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Рандомизированные клинические исследования с как минимум 1 значительной или как минимум 3 незначительными методологическими ошибками</w:t>
            </w:r>
          </w:p>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Ретроспективные или наблюдательные исследования</w:t>
            </w:r>
          </w:p>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Серия клинических наблюдений</w:t>
            </w:r>
          </w:p>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Противоречивые данные, не позволяющие сформировать окончательную рекомендацию</w:t>
            </w:r>
          </w:p>
        </w:tc>
      </w:tr>
      <w:tr w:rsidR="00FA4889" w:rsidRPr="00FA4889" w:rsidTr="00FA4889">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b/>
                <w:bCs/>
                <w:sz w:val="24"/>
                <w:szCs w:val="24"/>
                <w:lang w:eastAsia="ru-RU"/>
              </w:rPr>
              <w:t>IV (4)</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Мнение эксперта/данные из отчета экспертной комиссии, экспериментально подтвержденные и теоретически обоснованные</w:t>
            </w:r>
          </w:p>
        </w:tc>
      </w:tr>
    </w:tbl>
    <w:p w:rsidR="00FA4889" w:rsidRPr="00FA4889" w:rsidRDefault="00FA4889" w:rsidP="00FA4889">
      <w:pPr>
        <w:shd w:val="clear" w:color="auto" w:fill="FFFFFF"/>
        <w:spacing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Таблица П2</w:t>
      </w:r>
      <w:r w:rsidRPr="00FA4889">
        <w:rPr>
          <w:rFonts w:ascii="Helvetica" w:eastAsia="Times New Roman" w:hAnsi="Helvetica" w:cs="Helvetica"/>
          <w:color w:val="333333"/>
          <w:sz w:val="24"/>
          <w:szCs w:val="24"/>
          <w:lang w:eastAsia="ru-RU"/>
        </w:rPr>
        <w:t> – Уровни убедительности рекомендаций</w:t>
      </w:r>
    </w:p>
    <w:tbl>
      <w:tblPr>
        <w:tblW w:w="0" w:type="auto"/>
        <w:tblCellMar>
          <w:top w:w="15" w:type="dxa"/>
          <w:left w:w="15" w:type="dxa"/>
          <w:bottom w:w="15" w:type="dxa"/>
          <w:right w:w="15" w:type="dxa"/>
        </w:tblCellMar>
        <w:tblLook w:val="04A0" w:firstRow="1" w:lastRow="0" w:firstColumn="1" w:lastColumn="0" w:noHBand="0" w:noVBand="1"/>
      </w:tblPr>
      <w:tblGrid>
        <w:gridCol w:w="2087"/>
        <w:gridCol w:w="4000"/>
        <w:gridCol w:w="3568"/>
      </w:tblGrid>
      <w:tr w:rsidR="00FA4889" w:rsidRPr="00FA4889" w:rsidTr="00FA4889">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b/>
                <w:bCs/>
                <w:sz w:val="24"/>
                <w:szCs w:val="24"/>
                <w:lang w:eastAsia="ru-RU"/>
              </w:rPr>
              <w:t>Уровень убедительности</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b/>
                <w:bCs/>
                <w:sz w:val="24"/>
                <w:szCs w:val="24"/>
                <w:lang w:eastAsia="ru-RU"/>
              </w:rPr>
              <w:t>Описание</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b/>
                <w:bCs/>
                <w:sz w:val="24"/>
                <w:szCs w:val="24"/>
                <w:lang w:eastAsia="ru-RU"/>
              </w:rPr>
              <w:t>Расшифровка</w:t>
            </w:r>
          </w:p>
        </w:tc>
      </w:tr>
      <w:tr w:rsidR="00FA4889" w:rsidRPr="00FA4889" w:rsidTr="00FA4889">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b/>
                <w:bCs/>
                <w:sz w:val="24"/>
                <w:szCs w:val="24"/>
                <w:lang w:eastAsia="ru-RU"/>
              </w:rPr>
              <w:t>A</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Рекомендация основана на высоком уровне доказательности (как минимум 1 убедительная публикация I уровня доказательности, показывающая значительное превосходство пользы над риском)</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Метод/терапия первой линии; либо в сочетании со стандартной методикой/терапией</w:t>
            </w:r>
          </w:p>
        </w:tc>
      </w:tr>
      <w:tr w:rsidR="00FA4889" w:rsidRPr="00FA4889" w:rsidTr="00FA4889">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b/>
                <w:bCs/>
                <w:sz w:val="24"/>
                <w:szCs w:val="24"/>
                <w:lang w:eastAsia="ru-RU"/>
              </w:rPr>
              <w:t>B</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 xml:space="preserve">Рекомендация основана на среднем </w:t>
            </w:r>
            <w:r w:rsidRPr="00FA4889">
              <w:rPr>
                <w:rFonts w:ascii="Times New Roman" w:eastAsia="Times New Roman" w:hAnsi="Times New Roman" w:cs="Times New Roman"/>
                <w:sz w:val="24"/>
                <w:szCs w:val="24"/>
                <w:lang w:eastAsia="ru-RU"/>
              </w:rPr>
              <w:lastRenderedPageBreak/>
              <w:t>уровне доказательности (как минимум 1 убедительная публикация II уровня доказательности, показывающая значительное превосходство пользы над риском)</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lastRenderedPageBreak/>
              <w:t xml:space="preserve">Метод/терапия второй линии; </w:t>
            </w:r>
            <w:r w:rsidRPr="00FA4889">
              <w:rPr>
                <w:rFonts w:ascii="Times New Roman" w:eastAsia="Times New Roman" w:hAnsi="Times New Roman" w:cs="Times New Roman"/>
                <w:sz w:val="24"/>
                <w:szCs w:val="24"/>
                <w:lang w:eastAsia="ru-RU"/>
              </w:rPr>
              <w:lastRenderedPageBreak/>
              <w:t>либо при отказе, противопоказании, или неэффективности стандартной методики/терапии. Рекомендуется мониторирование побочных явлений</w:t>
            </w:r>
          </w:p>
        </w:tc>
      </w:tr>
      <w:tr w:rsidR="00FA4889" w:rsidRPr="00FA4889" w:rsidTr="00FA4889">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b/>
                <w:bCs/>
                <w:sz w:val="24"/>
                <w:szCs w:val="24"/>
                <w:lang w:eastAsia="ru-RU"/>
              </w:rPr>
              <w:lastRenderedPageBreak/>
              <w:t>C</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Рекомендация основана на слабом уровне доказательности (но как минимум 1 убедительная публикация III уровня доказательности, показывающая значительное превосходство пользы над риском) </w:t>
            </w:r>
            <w:r w:rsidRPr="00FA4889">
              <w:rPr>
                <w:rFonts w:ascii="Times New Roman" w:eastAsia="Times New Roman" w:hAnsi="Times New Roman" w:cs="Times New Roman"/>
                <w:i/>
                <w:iCs/>
                <w:sz w:val="24"/>
                <w:szCs w:val="24"/>
                <w:lang w:eastAsia="ru-RU"/>
              </w:rPr>
              <w:t>или</w:t>
            </w:r>
          </w:p>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нет убедительных данных ни о пользе, ни о риске)</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Нет возражений против данного метода/терапии или нет возражений против продолжения данного метода/терапии</w:t>
            </w:r>
          </w:p>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Рекомендовано при отказе, противопоказании, или неэффективности стандартной методики/терапии, при условии отсутствия побочных эффектов</w:t>
            </w:r>
          </w:p>
        </w:tc>
      </w:tr>
      <w:tr w:rsidR="00FA4889" w:rsidRPr="00FA4889" w:rsidTr="00FA4889">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b/>
                <w:bCs/>
                <w:sz w:val="24"/>
                <w:szCs w:val="24"/>
                <w:lang w:eastAsia="ru-RU"/>
              </w:rPr>
              <w:t>D</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Отсутствие убедительных публикаций I, II или III уровня доказательности, показывающих значительное превосходство пользы над риском, либо убедительные публикации I, II или III уровня доказательности, показывающие значительное превосходство риска над пользой</w:t>
            </w:r>
          </w:p>
        </w:tc>
        <w:tc>
          <w:tcPr>
            <w:tcW w:w="0" w:type="auto"/>
            <w:shd w:val="clear" w:color="auto" w:fill="auto"/>
            <w:tcMar>
              <w:top w:w="135" w:type="dxa"/>
              <w:left w:w="150" w:type="dxa"/>
              <w:bottom w:w="135" w:type="dxa"/>
              <w:right w:w="150" w:type="dxa"/>
            </w:tcMar>
            <w:vAlign w:val="center"/>
            <w:hideMark/>
          </w:tcPr>
          <w:p w:rsidR="00FA4889" w:rsidRPr="00FA4889" w:rsidRDefault="00FA4889" w:rsidP="00FA4889">
            <w:pPr>
              <w:spacing w:after="0" w:line="240" w:lineRule="auto"/>
              <w:rPr>
                <w:rFonts w:ascii="Times New Roman" w:eastAsia="Times New Roman" w:hAnsi="Times New Roman" w:cs="Times New Roman"/>
                <w:sz w:val="24"/>
                <w:szCs w:val="24"/>
                <w:lang w:eastAsia="ru-RU"/>
              </w:rPr>
            </w:pPr>
            <w:r w:rsidRPr="00FA4889">
              <w:rPr>
                <w:rFonts w:ascii="Times New Roman" w:eastAsia="Times New Roman" w:hAnsi="Times New Roman" w:cs="Times New Roman"/>
                <w:sz w:val="24"/>
                <w:szCs w:val="24"/>
                <w:lang w:eastAsia="ru-RU"/>
              </w:rPr>
              <w:t>Не рекомендовано</w:t>
            </w:r>
          </w:p>
        </w:tc>
      </w:tr>
    </w:tbl>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b/>
          <w:bCs/>
          <w:color w:val="333333"/>
          <w:sz w:val="24"/>
          <w:szCs w:val="24"/>
          <w:lang w:eastAsia="ru-RU"/>
        </w:rPr>
        <w:t>Порядок обновления клинических рекомендаций</w:t>
      </w:r>
      <w:r w:rsidRPr="00FA4889">
        <w:rPr>
          <w:rFonts w:ascii="Helvetica" w:eastAsia="Times New Roman" w:hAnsi="Helvetica" w:cs="Helvetica"/>
          <w:color w:val="333333"/>
          <w:sz w:val="24"/>
          <w:szCs w:val="24"/>
          <w:lang w:eastAsia="ru-RU"/>
        </w:rPr>
        <w:t> – пересмотр _1_ раз в _3 года</w:t>
      </w:r>
    </w:p>
    <w:p w:rsidR="00FA4889" w:rsidRPr="00FA4889" w:rsidRDefault="00FA4889" w:rsidP="00FA488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A4889">
        <w:rPr>
          <w:rFonts w:ascii="inherit" w:eastAsia="Times New Roman" w:hAnsi="inherit" w:cs="Helvetica"/>
          <w:b/>
          <w:bCs/>
          <w:color w:val="444444"/>
          <w:sz w:val="36"/>
          <w:szCs w:val="36"/>
          <w:lang w:eastAsia="ru-RU"/>
        </w:rPr>
        <w:t>Приложение В. Информация для пациентов</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Синдром делеции 22-й хромосомы — это совокупность морфологических, иммунологических и неврологических изменений, которые являются следствием врожденного генетического дефекта: делеции длинного плеча 1 копии 22-й хромосомы — del 22q11.2.</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В классическом понимании это сочетание патологии лицевого скелета (расщелины твердого неба), врожденного порока сердца, недоразвития (или отсутствие) тимуса и снижения уровня кальция в крови в результате недоразвития паращитовидной железы. Заболевание может передаваться по наследству.</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Спектр клинических проявлений при синдроме делеции 22-й хромосомы достаточно широк. Для этого синдрома характерно преобладание тех или иных признаков в зависимости от возраста пациента. Так, у детей после рождения на первом месте по тяжести преобладают врожденный порок сердца и снижение уровня кальция в крови. С возрастом появляются проблемы другого характера: задержка умственного развития, инфекционные и аутоиммунные осложнения.</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Основные симптомы и признаки син</w:t>
      </w:r>
      <w:r w:rsidRPr="00FA4889">
        <w:rPr>
          <w:rFonts w:ascii="Helvetica" w:eastAsia="Times New Roman" w:hAnsi="Helvetica" w:cs="Helvetica"/>
          <w:color w:val="333333"/>
          <w:sz w:val="24"/>
          <w:szCs w:val="24"/>
          <w:lang w:eastAsia="ru-RU"/>
        </w:rPr>
        <w:softHyphen/>
        <w:t>дрома делеции 22-й хромосомы:</w:t>
      </w:r>
    </w:p>
    <w:p w:rsidR="00FA4889" w:rsidRPr="00FA4889" w:rsidRDefault="00FA4889" w:rsidP="00FA4889">
      <w:pPr>
        <w:numPr>
          <w:ilvl w:val="0"/>
          <w:numId w:val="34"/>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lastRenderedPageBreak/>
        <w:t>Врожденный порок сердца представлен у большинства пациентов (прерывание дуга аорты, общий артериальный ствол и тетрада Фалло и другие).</w:t>
      </w:r>
    </w:p>
    <w:p w:rsidR="00FA4889" w:rsidRPr="00FA4889" w:rsidRDefault="00FA4889" w:rsidP="00FA4889">
      <w:pPr>
        <w:numPr>
          <w:ilvl w:val="0"/>
          <w:numId w:val="34"/>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Судорожный синдромом (при выраженном дефиците кальция/недоразвитии паращитовидной железы).</w:t>
      </w:r>
    </w:p>
    <w:p w:rsidR="00FA4889" w:rsidRPr="00FA4889" w:rsidRDefault="00FA4889" w:rsidP="00FA4889">
      <w:pPr>
        <w:numPr>
          <w:ilvl w:val="0"/>
          <w:numId w:val="34"/>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Поражение носоглотки у большинства пациентов (расщепление нёба, губы, раздвоение уздечки нёба, гнусавый оттенок голоса, может встречаться снижение обоняния, слуха).</w:t>
      </w:r>
    </w:p>
    <w:p w:rsidR="00FA4889" w:rsidRPr="00FA4889" w:rsidRDefault="00FA4889" w:rsidP="00FA4889">
      <w:pPr>
        <w:numPr>
          <w:ilvl w:val="0"/>
          <w:numId w:val="34"/>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Характерные черты лица (удлиненное лицо, недоразвитие или неправильное расположение челюстных костей, широкая переносица, мелкие зубы, асимметрия лица при плаче, опущенные вниз уголки рта, широко посаженные глаза, низко посаженные и деформированные ушные раковины, непропорционально большой кончик носа).</w:t>
      </w:r>
    </w:p>
    <w:p w:rsidR="00FA4889" w:rsidRPr="00FA4889" w:rsidRDefault="00FA4889" w:rsidP="00FA4889">
      <w:pPr>
        <w:numPr>
          <w:ilvl w:val="0"/>
          <w:numId w:val="34"/>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Нарушения иммунитета у большинства пациентов, в результате которого могут развиваться грибковые заболевания, пневмоцистная инфекция, другие бактериальные и вирусные инфекции.</w:t>
      </w:r>
    </w:p>
    <w:p w:rsidR="00FA4889" w:rsidRPr="00FA4889" w:rsidRDefault="00FA4889" w:rsidP="00FA4889">
      <w:pPr>
        <w:numPr>
          <w:ilvl w:val="0"/>
          <w:numId w:val="34"/>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В результате неправильной работы иммунной системы могут развиваться аутоиммунные заболевания, такие как ювенильный ревматоидный артрит (ЮРА), воспалительные заболевания кишечника (ВЗК), аутоиммунный увеит, бронхиальная астма.</w:t>
      </w:r>
    </w:p>
    <w:p w:rsidR="00FA4889" w:rsidRPr="00FA4889" w:rsidRDefault="00FA4889" w:rsidP="00FA4889">
      <w:pPr>
        <w:numPr>
          <w:ilvl w:val="0"/>
          <w:numId w:val="34"/>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Задержка физического развития нередко наблюдается у пациентов с синдромом делеции 22q11.2-й хромосомы.</w:t>
      </w:r>
    </w:p>
    <w:p w:rsidR="00FA4889" w:rsidRPr="00FA4889" w:rsidRDefault="00FA4889" w:rsidP="00FA4889">
      <w:pPr>
        <w:numPr>
          <w:ilvl w:val="0"/>
          <w:numId w:val="34"/>
        </w:num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Задержка речевого и психомоторного развития наблюдается у 70—90% и проявляется с возрастом. Пациенты наблюдаются с диагнозами «психоз» или «шизофрения», «депрессия», «биполярный синдром».</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Диагноз подтверждается определением генетического дефекта: микроделеции в хромосоме 22q.</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В настоящее время не существует методов терапии данного заболевания, которые могут привести к выздоровлению. Терапия пациентов с синдромом делеции 22-й хромосомы направлено, главным образом, на лечение осложнений, возникающих в тот или иной период жизни пациента. Проводится хирургическое лечение пороков сердца и лицевого скелета. В зависимости от степени выраженности иммунологического дефекта пациенты могут нуждаться в регулярной (ежемесячной) терапии внутривенным иммуноглобулином, профилактической противомикробной терапии.</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При возникновении аутоиммунных осложнений проводится их лечение.</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Пациенты с данным синдромом наблюдаются различными специалистами, проходят диагностические процедуры в зависимости от выраженности тех или иных клинических проявлений заболевания.</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Такие пациенты не должны вакцинироваться живыми вакцинами (корь, паротит, краснуха, ветряная оспа, живая полиомиелитная вакцина).</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Наиболее значимые проблемы — психиатрического плана.</w:t>
      </w:r>
    </w:p>
    <w:p w:rsidR="00FA4889" w:rsidRPr="00FA4889" w:rsidRDefault="00FA4889" w:rsidP="00FA4889">
      <w:pPr>
        <w:shd w:val="clear" w:color="auto" w:fill="FFFFFF"/>
        <w:spacing w:after="150"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t>Выбор профессии определяется умственным развитием и психическими отклонениями.</w:t>
      </w:r>
    </w:p>
    <w:p w:rsidR="00FA4889" w:rsidRPr="00FA4889" w:rsidRDefault="00FA4889" w:rsidP="00FA4889">
      <w:pPr>
        <w:shd w:val="clear" w:color="auto" w:fill="FFFFFF"/>
        <w:spacing w:line="240" w:lineRule="auto"/>
        <w:rPr>
          <w:rFonts w:ascii="Helvetica" w:eastAsia="Times New Roman" w:hAnsi="Helvetica" w:cs="Helvetica"/>
          <w:color w:val="333333"/>
          <w:sz w:val="24"/>
          <w:szCs w:val="24"/>
          <w:lang w:eastAsia="ru-RU"/>
        </w:rPr>
      </w:pPr>
      <w:r w:rsidRPr="00FA4889">
        <w:rPr>
          <w:rFonts w:ascii="Helvetica" w:eastAsia="Times New Roman" w:hAnsi="Helvetica" w:cs="Helvetica"/>
          <w:color w:val="333333"/>
          <w:sz w:val="24"/>
          <w:szCs w:val="24"/>
          <w:lang w:eastAsia="ru-RU"/>
        </w:rPr>
        <w:lastRenderedPageBreak/>
        <w:t>Возможно проведение диагностики в период внутриутробного развития плода.</w:t>
      </w:r>
    </w:p>
    <w:p w:rsidR="00FA4889" w:rsidRPr="00FA4889" w:rsidRDefault="00FA4889" w:rsidP="00FA4889">
      <w:pPr>
        <w:shd w:val="clear" w:color="auto" w:fill="FFFFFF"/>
        <w:spacing w:after="180" w:line="240" w:lineRule="auto"/>
        <w:rPr>
          <w:rFonts w:ascii="Helvetica" w:eastAsia="Times New Roman" w:hAnsi="Helvetica" w:cs="Helvetica"/>
          <w:i/>
          <w:iCs/>
          <w:color w:val="333333"/>
          <w:sz w:val="24"/>
          <w:szCs w:val="24"/>
          <w:lang w:eastAsia="ru-RU"/>
        </w:rPr>
      </w:pPr>
      <w:r w:rsidRPr="00FA4889">
        <w:rPr>
          <w:rFonts w:ascii="Helvetica" w:eastAsia="Times New Roman" w:hAnsi="Helvetica" w:cs="Helvetica"/>
          <w:i/>
          <w:iCs/>
          <w:color w:val="333333"/>
          <w:sz w:val="24"/>
          <w:szCs w:val="24"/>
          <w:lang w:eastAsia="ru-RU"/>
        </w:rPr>
        <w:t>10 октября 2016 г.</w:t>
      </w:r>
    </w:p>
    <w:p w:rsidR="009F5FC9" w:rsidRDefault="009F5FC9">
      <w:bookmarkStart w:id="0" w:name="_GoBack"/>
      <w:bookmarkEnd w:id="0"/>
    </w:p>
    <w:sectPr w:rsidR="009F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58F"/>
    <w:multiLevelType w:val="multilevel"/>
    <w:tmpl w:val="F9DE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C6A92"/>
    <w:multiLevelType w:val="multilevel"/>
    <w:tmpl w:val="5B2C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2287B"/>
    <w:multiLevelType w:val="multilevel"/>
    <w:tmpl w:val="72E6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1412E"/>
    <w:multiLevelType w:val="multilevel"/>
    <w:tmpl w:val="955C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E39AE"/>
    <w:multiLevelType w:val="multilevel"/>
    <w:tmpl w:val="051E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8A50F8"/>
    <w:multiLevelType w:val="multilevel"/>
    <w:tmpl w:val="EA1A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8093D"/>
    <w:multiLevelType w:val="multilevel"/>
    <w:tmpl w:val="34AC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F0917"/>
    <w:multiLevelType w:val="multilevel"/>
    <w:tmpl w:val="B456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E6DF5"/>
    <w:multiLevelType w:val="multilevel"/>
    <w:tmpl w:val="62BA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1C032C"/>
    <w:multiLevelType w:val="multilevel"/>
    <w:tmpl w:val="9A00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DC444D"/>
    <w:multiLevelType w:val="multilevel"/>
    <w:tmpl w:val="0800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CA2DAF"/>
    <w:multiLevelType w:val="multilevel"/>
    <w:tmpl w:val="9F4C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315DE"/>
    <w:multiLevelType w:val="multilevel"/>
    <w:tmpl w:val="5A00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F66192"/>
    <w:multiLevelType w:val="multilevel"/>
    <w:tmpl w:val="BE44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F57A1E"/>
    <w:multiLevelType w:val="multilevel"/>
    <w:tmpl w:val="2C82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8443E5"/>
    <w:multiLevelType w:val="multilevel"/>
    <w:tmpl w:val="F24E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F1A80"/>
    <w:multiLevelType w:val="multilevel"/>
    <w:tmpl w:val="D100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2D6A77"/>
    <w:multiLevelType w:val="multilevel"/>
    <w:tmpl w:val="38CA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2D472F"/>
    <w:multiLevelType w:val="multilevel"/>
    <w:tmpl w:val="43D2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F0044A"/>
    <w:multiLevelType w:val="multilevel"/>
    <w:tmpl w:val="6960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0A7445"/>
    <w:multiLevelType w:val="multilevel"/>
    <w:tmpl w:val="7D6AB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1E364A"/>
    <w:multiLevelType w:val="multilevel"/>
    <w:tmpl w:val="E0AE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E717A2"/>
    <w:multiLevelType w:val="multilevel"/>
    <w:tmpl w:val="8C42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A326B8"/>
    <w:multiLevelType w:val="multilevel"/>
    <w:tmpl w:val="46A8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A2521A"/>
    <w:multiLevelType w:val="multilevel"/>
    <w:tmpl w:val="E05E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4307A6"/>
    <w:multiLevelType w:val="multilevel"/>
    <w:tmpl w:val="3A58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2518E7"/>
    <w:multiLevelType w:val="multilevel"/>
    <w:tmpl w:val="F688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E43DC8"/>
    <w:multiLevelType w:val="multilevel"/>
    <w:tmpl w:val="A88E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D36FBB"/>
    <w:multiLevelType w:val="multilevel"/>
    <w:tmpl w:val="5E52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7F2399"/>
    <w:multiLevelType w:val="multilevel"/>
    <w:tmpl w:val="A4F4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0F3729"/>
    <w:multiLevelType w:val="multilevel"/>
    <w:tmpl w:val="CE28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1362B3"/>
    <w:multiLevelType w:val="multilevel"/>
    <w:tmpl w:val="7004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4A59C3"/>
    <w:multiLevelType w:val="multilevel"/>
    <w:tmpl w:val="88EE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8550CB"/>
    <w:multiLevelType w:val="multilevel"/>
    <w:tmpl w:val="9F5E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24"/>
  </w:num>
  <w:num w:numId="4">
    <w:abstractNumId w:val="16"/>
  </w:num>
  <w:num w:numId="5">
    <w:abstractNumId w:val="32"/>
  </w:num>
  <w:num w:numId="6">
    <w:abstractNumId w:val="27"/>
  </w:num>
  <w:num w:numId="7">
    <w:abstractNumId w:val="25"/>
  </w:num>
  <w:num w:numId="8">
    <w:abstractNumId w:val="1"/>
  </w:num>
  <w:num w:numId="9">
    <w:abstractNumId w:val="28"/>
  </w:num>
  <w:num w:numId="10">
    <w:abstractNumId w:val="7"/>
  </w:num>
  <w:num w:numId="11">
    <w:abstractNumId w:val="30"/>
  </w:num>
  <w:num w:numId="12">
    <w:abstractNumId w:val="17"/>
  </w:num>
  <w:num w:numId="13">
    <w:abstractNumId w:val="3"/>
  </w:num>
  <w:num w:numId="14">
    <w:abstractNumId w:val="5"/>
  </w:num>
  <w:num w:numId="15">
    <w:abstractNumId w:val="15"/>
  </w:num>
  <w:num w:numId="16">
    <w:abstractNumId w:val="26"/>
  </w:num>
  <w:num w:numId="17">
    <w:abstractNumId w:val="10"/>
  </w:num>
  <w:num w:numId="18">
    <w:abstractNumId w:val="11"/>
  </w:num>
  <w:num w:numId="19">
    <w:abstractNumId w:val="21"/>
  </w:num>
  <w:num w:numId="20">
    <w:abstractNumId w:val="4"/>
  </w:num>
  <w:num w:numId="21">
    <w:abstractNumId w:val="9"/>
  </w:num>
  <w:num w:numId="22">
    <w:abstractNumId w:val="14"/>
  </w:num>
  <w:num w:numId="23">
    <w:abstractNumId w:val="2"/>
  </w:num>
  <w:num w:numId="24">
    <w:abstractNumId w:val="19"/>
  </w:num>
  <w:num w:numId="25">
    <w:abstractNumId w:val="6"/>
  </w:num>
  <w:num w:numId="26">
    <w:abstractNumId w:val="23"/>
  </w:num>
  <w:num w:numId="27">
    <w:abstractNumId w:val="0"/>
  </w:num>
  <w:num w:numId="28">
    <w:abstractNumId w:val="13"/>
  </w:num>
  <w:num w:numId="29">
    <w:abstractNumId w:val="31"/>
  </w:num>
  <w:num w:numId="30">
    <w:abstractNumId w:val="29"/>
  </w:num>
  <w:num w:numId="31">
    <w:abstractNumId w:val="8"/>
  </w:num>
  <w:num w:numId="32">
    <w:abstractNumId w:val="20"/>
  </w:num>
  <w:num w:numId="33">
    <w:abstractNumId w:val="2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87"/>
    <w:rsid w:val="000F6C87"/>
    <w:rsid w:val="009F5FC9"/>
    <w:rsid w:val="00FA4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79331">
      <w:bodyDiv w:val="1"/>
      <w:marLeft w:val="0"/>
      <w:marRight w:val="0"/>
      <w:marTop w:val="0"/>
      <w:marBottom w:val="0"/>
      <w:divBdr>
        <w:top w:val="none" w:sz="0" w:space="0" w:color="auto"/>
        <w:left w:val="none" w:sz="0" w:space="0" w:color="auto"/>
        <w:bottom w:val="none" w:sz="0" w:space="0" w:color="auto"/>
        <w:right w:val="none" w:sz="0" w:space="0" w:color="auto"/>
      </w:divBdr>
      <w:divsChild>
        <w:div w:id="1906717379">
          <w:marLeft w:val="0"/>
          <w:marRight w:val="0"/>
          <w:marTop w:val="0"/>
          <w:marBottom w:val="0"/>
          <w:divBdr>
            <w:top w:val="none" w:sz="0" w:space="0" w:color="auto"/>
            <w:left w:val="none" w:sz="0" w:space="0" w:color="auto"/>
            <w:bottom w:val="none" w:sz="0" w:space="0" w:color="auto"/>
            <w:right w:val="none" w:sz="0" w:space="0" w:color="auto"/>
          </w:divBdr>
          <w:divsChild>
            <w:div w:id="1176338344">
              <w:marLeft w:val="0"/>
              <w:marRight w:val="0"/>
              <w:marTop w:val="0"/>
              <w:marBottom w:val="300"/>
              <w:divBdr>
                <w:top w:val="none" w:sz="0" w:space="0" w:color="auto"/>
                <w:left w:val="none" w:sz="0" w:space="0" w:color="auto"/>
                <w:bottom w:val="none" w:sz="0" w:space="0" w:color="auto"/>
                <w:right w:val="none" w:sz="0" w:space="0" w:color="auto"/>
              </w:divBdr>
              <w:divsChild>
                <w:div w:id="1093939224">
                  <w:marLeft w:val="0"/>
                  <w:marRight w:val="0"/>
                  <w:marTop w:val="0"/>
                  <w:marBottom w:val="0"/>
                  <w:divBdr>
                    <w:top w:val="single" w:sz="6" w:space="10" w:color="AAAAAA"/>
                    <w:left w:val="single" w:sz="6" w:space="10" w:color="AAAAAA"/>
                    <w:bottom w:val="single" w:sz="6" w:space="10" w:color="AAAAAA"/>
                    <w:right w:val="single" w:sz="6" w:space="10" w:color="AAAAAA"/>
                  </w:divBdr>
                  <w:divsChild>
                    <w:div w:id="1698387436">
                      <w:marLeft w:val="0"/>
                      <w:marRight w:val="0"/>
                      <w:marTop w:val="0"/>
                      <w:marBottom w:val="0"/>
                      <w:divBdr>
                        <w:top w:val="none" w:sz="0" w:space="0" w:color="auto"/>
                        <w:left w:val="none" w:sz="0" w:space="0" w:color="auto"/>
                        <w:bottom w:val="none" w:sz="0" w:space="0" w:color="auto"/>
                        <w:right w:val="none" w:sz="0" w:space="0" w:color="auto"/>
                      </w:divBdr>
                      <w:divsChild>
                        <w:div w:id="1809123580">
                          <w:marLeft w:val="0"/>
                          <w:marRight w:val="0"/>
                          <w:marTop w:val="0"/>
                          <w:marBottom w:val="0"/>
                          <w:divBdr>
                            <w:top w:val="none" w:sz="0" w:space="0" w:color="auto"/>
                            <w:left w:val="none" w:sz="0" w:space="0" w:color="auto"/>
                            <w:bottom w:val="none" w:sz="0" w:space="0" w:color="auto"/>
                            <w:right w:val="none" w:sz="0" w:space="0" w:color="auto"/>
                          </w:divBdr>
                        </w:div>
                        <w:div w:id="1274288777">
                          <w:marLeft w:val="0"/>
                          <w:marRight w:val="0"/>
                          <w:marTop w:val="0"/>
                          <w:marBottom w:val="0"/>
                          <w:divBdr>
                            <w:top w:val="none" w:sz="0" w:space="0" w:color="auto"/>
                            <w:left w:val="none" w:sz="0" w:space="0" w:color="auto"/>
                            <w:bottom w:val="none" w:sz="0" w:space="0" w:color="auto"/>
                            <w:right w:val="none" w:sz="0" w:space="0" w:color="auto"/>
                          </w:divBdr>
                          <w:divsChild>
                            <w:div w:id="659234953">
                              <w:marLeft w:val="0"/>
                              <w:marRight w:val="0"/>
                              <w:marTop w:val="0"/>
                              <w:marBottom w:val="0"/>
                              <w:divBdr>
                                <w:top w:val="none" w:sz="0" w:space="0" w:color="auto"/>
                                <w:left w:val="none" w:sz="0" w:space="0" w:color="auto"/>
                                <w:bottom w:val="none" w:sz="0" w:space="0" w:color="auto"/>
                                <w:right w:val="none" w:sz="0" w:space="0" w:color="auto"/>
                              </w:divBdr>
                            </w:div>
                            <w:div w:id="911160622">
                              <w:marLeft w:val="0"/>
                              <w:marRight w:val="0"/>
                              <w:marTop w:val="0"/>
                              <w:marBottom w:val="0"/>
                              <w:divBdr>
                                <w:top w:val="none" w:sz="0" w:space="0" w:color="auto"/>
                                <w:left w:val="none" w:sz="0" w:space="0" w:color="auto"/>
                                <w:bottom w:val="none" w:sz="0" w:space="0" w:color="auto"/>
                                <w:right w:val="none" w:sz="0" w:space="0" w:color="auto"/>
                              </w:divBdr>
                            </w:div>
                          </w:divsChild>
                        </w:div>
                        <w:div w:id="820854842">
                          <w:marLeft w:val="0"/>
                          <w:marRight w:val="0"/>
                          <w:marTop w:val="0"/>
                          <w:marBottom w:val="0"/>
                          <w:divBdr>
                            <w:top w:val="none" w:sz="0" w:space="0" w:color="auto"/>
                            <w:left w:val="none" w:sz="0" w:space="0" w:color="auto"/>
                            <w:bottom w:val="none" w:sz="0" w:space="0" w:color="auto"/>
                            <w:right w:val="none" w:sz="0" w:space="0" w:color="auto"/>
                          </w:divBdr>
                          <w:divsChild>
                            <w:div w:id="2003656261">
                              <w:marLeft w:val="0"/>
                              <w:marRight w:val="0"/>
                              <w:marTop w:val="0"/>
                              <w:marBottom w:val="0"/>
                              <w:divBdr>
                                <w:top w:val="none" w:sz="0" w:space="0" w:color="auto"/>
                                <w:left w:val="none" w:sz="0" w:space="0" w:color="auto"/>
                                <w:bottom w:val="none" w:sz="0" w:space="0" w:color="auto"/>
                                <w:right w:val="none" w:sz="0" w:space="0" w:color="auto"/>
                              </w:divBdr>
                            </w:div>
                            <w:div w:id="372538598">
                              <w:marLeft w:val="0"/>
                              <w:marRight w:val="0"/>
                              <w:marTop w:val="0"/>
                              <w:marBottom w:val="0"/>
                              <w:divBdr>
                                <w:top w:val="none" w:sz="0" w:space="0" w:color="auto"/>
                                <w:left w:val="none" w:sz="0" w:space="0" w:color="auto"/>
                                <w:bottom w:val="none" w:sz="0" w:space="0" w:color="auto"/>
                                <w:right w:val="none" w:sz="0" w:space="0" w:color="auto"/>
                              </w:divBdr>
                            </w:div>
                          </w:divsChild>
                        </w:div>
                        <w:div w:id="935867158">
                          <w:marLeft w:val="0"/>
                          <w:marRight w:val="0"/>
                          <w:marTop w:val="0"/>
                          <w:marBottom w:val="0"/>
                          <w:divBdr>
                            <w:top w:val="none" w:sz="0" w:space="0" w:color="auto"/>
                            <w:left w:val="none" w:sz="0" w:space="0" w:color="auto"/>
                            <w:bottom w:val="none" w:sz="0" w:space="0" w:color="auto"/>
                            <w:right w:val="none" w:sz="0" w:space="0" w:color="auto"/>
                          </w:divBdr>
                          <w:divsChild>
                            <w:div w:id="5167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226">
                      <w:marLeft w:val="0"/>
                      <w:marRight w:val="0"/>
                      <w:marTop w:val="0"/>
                      <w:marBottom w:val="0"/>
                      <w:divBdr>
                        <w:top w:val="none" w:sz="0" w:space="0" w:color="auto"/>
                        <w:left w:val="none" w:sz="0" w:space="0" w:color="auto"/>
                        <w:bottom w:val="none" w:sz="0" w:space="0" w:color="auto"/>
                        <w:right w:val="none" w:sz="0" w:space="0" w:color="auto"/>
                      </w:divBdr>
                      <w:divsChild>
                        <w:div w:id="258415114">
                          <w:marLeft w:val="0"/>
                          <w:marRight w:val="0"/>
                          <w:marTop w:val="0"/>
                          <w:marBottom w:val="0"/>
                          <w:divBdr>
                            <w:top w:val="none" w:sz="0" w:space="0" w:color="auto"/>
                            <w:left w:val="none" w:sz="0" w:space="0" w:color="auto"/>
                            <w:bottom w:val="none" w:sz="0" w:space="0" w:color="auto"/>
                            <w:right w:val="none" w:sz="0" w:space="0" w:color="auto"/>
                          </w:divBdr>
                          <w:divsChild>
                            <w:div w:id="1708409283">
                              <w:marLeft w:val="0"/>
                              <w:marRight w:val="0"/>
                              <w:marTop w:val="0"/>
                              <w:marBottom w:val="0"/>
                              <w:divBdr>
                                <w:top w:val="none" w:sz="0" w:space="0" w:color="auto"/>
                                <w:left w:val="none" w:sz="0" w:space="0" w:color="auto"/>
                                <w:bottom w:val="none" w:sz="0" w:space="0" w:color="auto"/>
                                <w:right w:val="none" w:sz="0" w:space="0" w:color="auto"/>
                              </w:divBdr>
                            </w:div>
                            <w:div w:id="1928342705">
                              <w:marLeft w:val="0"/>
                              <w:marRight w:val="0"/>
                              <w:marTop w:val="0"/>
                              <w:marBottom w:val="0"/>
                              <w:divBdr>
                                <w:top w:val="none" w:sz="0" w:space="0" w:color="auto"/>
                                <w:left w:val="none" w:sz="0" w:space="0" w:color="auto"/>
                                <w:bottom w:val="none" w:sz="0" w:space="0" w:color="auto"/>
                                <w:right w:val="none" w:sz="0" w:space="0" w:color="auto"/>
                              </w:divBdr>
                            </w:div>
                          </w:divsChild>
                        </w:div>
                        <w:div w:id="1304891332">
                          <w:marLeft w:val="0"/>
                          <w:marRight w:val="0"/>
                          <w:marTop w:val="0"/>
                          <w:marBottom w:val="0"/>
                          <w:divBdr>
                            <w:top w:val="none" w:sz="0" w:space="0" w:color="auto"/>
                            <w:left w:val="none" w:sz="0" w:space="0" w:color="auto"/>
                            <w:bottom w:val="none" w:sz="0" w:space="0" w:color="auto"/>
                            <w:right w:val="none" w:sz="0" w:space="0" w:color="auto"/>
                          </w:divBdr>
                          <w:divsChild>
                            <w:div w:id="281496496">
                              <w:marLeft w:val="0"/>
                              <w:marRight w:val="0"/>
                              <w:marTop w:val="0"/>
                              <w:marBottom w:val="0"/>
                              <w:divBdr>
                                <w:top w:val="none" w:sz="0" w:space="0" w:color="auto"/>
                                <w:left w:val="none" w:sz="0" w:space="0" w:color="auto"/>
                                <w:bottom w:val="none" w:sz="0" w:space="0" w:color="auto"/>
                                <w:right w:val="none" w:sz="0" w:space="0" w:color="auto"/>
                              </w:divBdr>
                            </w:div>
                            <w:div w:id="10529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12423">
                  <w:marLeft w:val="0"/>
                  <w:marRight w:val="0"/>
                  <w:marTop w:val="0"/>
                  <w:marBottom w:val="0"/>
                  <w:divBdr>
                    <w:top w:val="none" w:sz="0" w:space="0" w:color="auto"/>
                    <w:left w:val="none" w:sz="0" w:space="0" w:color="auto"/>
                    <w:bottom w:val="none" w:sz="0" w:space="0" w:color="auto"/>
                    <w:right w:val="none" w:sz="0" w:space="0" w:color="auto"/>
                  </w:divBdr>
                  <w:divsChild>
                    <w:div w:id="6824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56387">
          <w:marLeft w:val="0"/>
          <w:marRight w:val="0"/>
          <w:marTop w:val="0"/>
          <w:marBottom w:val="180"/>
          <w:divBdr>
            <w:top w:val="none" w:sz="0" w:space="0" w:color="auto"/>
            <w:left w:val="dotted" w:sz="6" w:space="9" w:color="AAAAAA"/>
            <w:bottom w:val="none" w:sz="0" w:space="0" w:color="auto"/>
            <w:right w:val="none" w:sz="0" w:space="0" w:color="auto"/>
          </w:divBdr>
          <w:divsChild>
            <w:div w:id="1746416372">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ru/klinicheskie-rekomendatsii/sindrom-deletsii-22-khromosomy-sindrom-didzhordzhi-u-detej_14268/" TargetMode="External"/><Relationship Id="rId13" Type="http://schemas.openxmlformats.org/officeDocument/2006/relationships/hyperlink" Target="https://medi.ru/klinicheskie-rekomendatsii/sindrom-deletsii-22-khromosomy-sindrom-didzhordzhi-u-detej_14268/" TargetMode="External"/><Relationship Id="rId18" Type="http://schemas.openxmlformats.org/officeDocument/2006/relationships/hyperlink" Target="https://medi.ru/klinicheskie-rekomendatsii/sindrom-deletsii-22-khromosomy-sindrom-didzhordzhi-u-detej_1426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medi.ru/klinicheskie-rekomendatsii/sindrom-deletsii-22-khromosomy-sindrom-didzhordzhi-u-detej_14268/" TargetMode="External"/><Relationship Id="rId12" Type="http://schemas.openxmlformats.org/officeDocument/2006/relationships/hyperlink" Target="https://medi.ru/klinicheskie-rekomendatsii/sindrom-deletsii-22-khromosomy-sindrom-didzhordzhi-u-detej_14268/" TargetMode="External"/><Relationship Id="rId17" Type="http://schemas.openxmlformats.org/officeDocument/2006/relationships/hyperlink" Target="https://medi.ru/klinicheskie-rekomendatsii/sindrom-deletsii-22-khromosomy-sindrom-didzhordzhi-u-detej_14268/" TargetMode="External"/><Relationship Id="rId2" Type="http://schemas.openxmlformats.org/officeDocument/2006/relationships/styles" Target="styles.xml"/><Relationship Id="rId16" Type="http://schemas.openxmlformats.org/officeDocument/2006/relationships/hyperlink" Target="https://medi.ru/klinicheskie-rekomendatsii/sindrom-deletsii-22-khromosomy-sindrom-didzhordzhi-u-detej_1426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i.ru/klinicheskie-rekomendatsii/sindrom-deletsii-22-khromosomy-sindrom-didzhordzhi-u-detej_14268/" TargetMode="External"/><Relationship Id="rId11" Type="http://schemas.openxmlformats.org/officeDocument/2006/relationships/hyperlink" Target="https://medi.ru/klinicheskie-rekomendatsii/sindrom-deletsii-22-khromosomy-sindrom-didzhordzhi-u-detej_14268/" TargetMode="External"/><Relationship Id="rId5" Type="http://schemas.openxmlformats.org/officeDocument/2006/relationships/webSettings" Target="webSettings.xml"/><Relationship Id="rId15" Type="http://schemas.openxmlformats.org/officeDocument/2006/relationships/hyperlink" Target="https://medi.ru/klinicheskie-rekomendatsii/sindrom-deletsii-22-khromosomy-sindrom-didzhordzhi-u-detej_14268/" TargetMode="External"/><Relationship Id="rId10" Type="http://schemas.openxmlformats.org/officeDocument/2006/relationships/hyperlink" Target="https://medi.ru/klinicheskie-rekomendatsii/sindrom-deletsii-22-khromosomy-sindrom-didzhordzhi-u-detej_14268/" TargetMode="External"/><Relationship Id="rId19" Type="http://schemas.openxmlformats.org/officeDocument/2006/relationships/hyperlink" Target="https://medi.ru/klinicheskie-rekomendatsii/sindrom-deletsii-22-khromosomy-sindrom-didzhordzhi-u-detej_14268/" TargetMode="External"/><Relationship Id="rId4" Type="http://schemas.openxmlformats.org/officeDocument/2006/relationships/settings" Target="settings.xml"/><Relationship Id="rId9" Type="http://schemas.openxmlformats.org/officeDocument/2006/relationships/hyperlink" Target="https://medi.ru/klinicheskie-rekomendatsii/sindrom-deletsii-22-khromosomy-sindrom-didzhordzhi-u-detej_14268/" TargetMode="External"/><Relationship Id="rId14" Type="http://schemas.openxmlformats.org/officeDocument/2006/relationships/hyperlink" Target="https://medi.ru/klinicheskie-rekomendatsii/sindrom-deletsii-22-khromosomy-sindrom-didzhordzhi-u-detej_14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5612</Words>
  <Characters>31991</Characters>
  <Application>Microsoft Office Word</Application>
  <DocSecurity>0</DocSecurity>
  <Lines>266</Lines>
  <Paragraphs>75</Paragraphs>
  <ScaleCrop>false</ScaleCrop>
  <Company/>
  <LinksUpToDate>false</LinksUpToDate>
  <CharactersWithSpaces>37528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Kotova UV</dc:creator>
  <cp:keywords/>
  <dc:description/>
  <cp:lastModifiedBy>Kotova UV</cp:lastModifiedBy>
  <cp:revision>2</cp:revision>
  <dcterms:created xsi:type="dcterms:W3CDTF">2018-09-15T05:48:00Z</dcterms:created>
  <dcterms:modified xsi:type="dcterms:W3CDTF">2018-09-15T05:48:00Z</dcterms:modified>
</cp:coreProperties>
</file>